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696B" w14:textId="7FD8C130" w:rsidR="00861EBF" w:rsidRPr="00565933" w:rsidRDefault="003823DE" w:rsidP="00565933">
      <w:pPr>
        <w:spacing w:after="0" w:line="240" w:lineRule="auto"/>
        <w:jc w:val="right"/>
        <w:rPr>
          <w:rFonts w:ascii="Arial" w:eastAsia="Calibri" w:hAnsi="Arial" w:cs="Arial"/>
          <w:bCs/>
          <w:sz w:val="24"/>
          <w:szCs w:val="24"/>
        </w:rPr>
      </w:pPr>
      <w:r w:rsidRPr="00565933">
        <w:rPr>
          <w:rFonts w:ascii="Arial" w:eastAsia="Calibri" w:hAnsi="Arial" w:cs="Arial"/>
          <w:bCs/>
          <w:sz w:val="24"/>
          <w:szCs w:val="24"/>
        </w:rPr>
        <w:t>CR-v-Department for Communities (PIP) [2024] NICom 7</w:t>
      </w:r>
    </w:p>
    <w:p w14:paraId="357C22FC" w14:textId="77777777" w:rsidR="00861EBF" w:rsidRPr="00565933" w:rsidRDefault="00861EBF" w:rsidP="00565933">
      <w:pPr>
        <w:spacing w:after="0" w:line="240" w:lineRule="auto"/>
        <w:jc w:val="right"/>
        <w:rPr>
          <w:rFonts w:ascii="Arial" w:eastAsia="Calibri" w:hAnsi="Arial" w:cs="Arial"/>
          <w:bCs/>
          <w:sz w:val="24"/>
          <w:szCs w:val="24"/>
        </w:rPr>
      </w:pPr>
    </w:p>
    <w:p w14:paraId="7656F3B6" w14:textId="71B9FF9A" w:rsidR="00861EBF" w:rsidRPr="00565933" w:rsidRDefault="00861EBF" w:rsidP="00565933">
      <w:pPr>
        <w:spacing w:after="0" w:line="240" w:lineRule="auto"/>
        <w:jc w:val="right"/>
        <w:rPr>
          <w:rFonts w:ascii="Arial" w:eastAsia="Calibri" w:hAnsi="Arial" w:cs="Arial"/>
          <w:bCs/>
          <w:sz w:val="24"/>
          <w:szCs w:val="24"/>
        </w:rPr>
      </w:pPr>
      <w:r w:rsidRPr="00565933">
        <w:rPr>
          <w:rFonts w:ascii="Arial" w:eastAsia="Calibri" w:hAnsi="Arial" w:cs="Arial"/>
          <w:bCs/>
          <w:sz w:val="24"/>
          <w:szCs w:val="24"/>
        </w:rPr>
        <w:t>Decision No:</w:t>
      </w:r>
      <w:r w:rsidR="00565933">
        <w:rPr>
          <w:rFonts w:ascii="Arial" w:eastAsia="Calibri" w:hAnsi="Arial" w:cs="Arial"/>
          <w:bCs/>
          <w:sz w:val="24"/>
          <w:szCs w:val="24"/>
        </w:rPr>
        <w:t xml:space="preserve">  </w:t>
      </w:r>
      <w:r w:rsidR="00505050" w:rsidRPr="00565933">
        <w:rPr>
          <w:rFonts w:ascii="Arial" w:eastAsia="Calibri" w:hAnsi="Arial" w:cs="Arial"/>
          <w:bCs/>
          <w:sz w:val="24"/>
          <w:szCs w:val="24"/>
        </w:rPr>
        <w:t>C22</w:t>
      </w:r>
      <w:r w:rsidRPr="00565933">
        <w:rPr>
          <w:rFonts w:ascii="Arial" w:eastAsia="Calibri" w:hAnsi="Arial" w:cs="Arial"/>
          <w:bCs/>
          <w:sz w:val="24"/>
          <w:szCs w:val="24"/>
        </w:rPr>
        <w:t>/23-24 (PIP)</w:t>
      </w:r>
    </w:p>
    <w:p w14:paraId="3B46FDA9" w14:textId="7AC7DF9F" w:rsidR="00861EBF" w:rsidRDefault="00861EBF" w:rsidP="00565933">
      <w:pPr>
        <w:spacing w:after="0" w:line="240" w:lineRule="auto"/>
        <w:jc w:val="both"/>
        <w:rPr>
          <w:rFonts w:ascii="Arial" w:eastAsia="Calibri" w:hAnsi="Arial" w:cs="Arial"/>
          <w:sz w:val="24"/>
          <w:szCs w:val="24"/>
        </w:rPr>
      </w:pPr>
    </w:p>
    <w:p w14:paraId="46E2CE90" w14:textId="77777777" w:rsidR="00565933" w:rsidRPr="00565933" w:rsidRDefault="00565933" w:rsidP="00565933">
      <w:pPr>
        <w:spacing w:after="0" w:line="240" w:lineRule="auto"/>
        <w:jc w:val="both"/>
        <w:rPr>
          <w:rFonts w:ascii="Arial" w:eastAsia="Calibri" w:hAnsi="Arial" w:cs="Arial"/>
          <w:sz w:val="24"/>
          <w:szCs w:val="24"/>
        </w:rPr>
      </w:pPr>
    </w:p>
    <w:p w14:paraId="2D7E0860" w14:textId="77777777" w:rsidR="00861EBF" w:rsidRPr="00565933" w:rsidRDefault="00861EBF" w:rsidP="00565933">
      <w:pPr>
        <w:spacing w:after="0" w:line="240" w:lineRule="auto"/>
        <w:jc w:val="both"/>
        <w:rPr>
          <w:rFonts w:ascii="Arial" w:eastAsia="Calibri" w:hAnsi="Arial" w:cs="Arial"/>
          <w:sz w:val="24"/>
          <w:szCs w:val="24"/>
        </w:rPr>
      </w:pPr>
    </w:p>
    <w:p w14:paraId="57140565" w14:textId="77777777" w:rsidR="00861EBF" w:rsidRPr="00565933" w:rsidRDefault="00861EBF" w:rsidP="00565933">
      <w:pPr>
        <w:spacing w:after="0" w:line="240" w:lineRule="auto"/>
        <w:jc w:val="both"/>
        <w:rPr>
          <w:rFonts w:ascii="Arial" w:eastAsia="Calibri" w:hAnsi="Arial" w:cs="Arial"/>
          <w:sz w:val="24"/>
          <w:szCs w:val="24"/>
        </w:rPr>
      </w:pPr>
    </w:p>
    <w:p w14:paraId="361FC836" w14:textId="77777777" w:rsidR="00861EBF" w:rsidRPr="00565933" w:rsidRDefault="00861EBF" w:rsidP="00565933">
      <w:pPr>
        <w:spacing w:after="0" w:line="240" w:lineRule="auto"/>
        <w:jc w:val="center"/>
        <w:rPr>
          <w:rFonts w:ascii="Arial" w:eastAsia="Calibri" w:hAnsi="Arial" w:cs="Arial"/>
          <w:b/>
          <w:bCs/>
          <w:spacing w:val="-3"/>
          <w:sz w:val="24"/>
          <w:szCs w:val="24"/>
        </w:rPr>
      </w:pPr>
      <w:r w:rsidRPr="00565933">
        <w:rPr>
          <w:rFonts w:ascii="Arial" w:eastAsia="Calibri" w:hAnsi="Arial" w:cs="Arial"/>
          <w:b/>
          <w:bCs/>
          <w:spacing w:val="-3"/>
          <w:sz w:val="24"/>
          <w:szCs w:val="24"/>
        </w:rPr>
        <w:t>SOCIAL SECURITY ADMINISTRATION (NORTHERN IRELAND) ACT 1992</w:t>
      </w:r>
    </w:p>
    <w:p w14:paraId="7C509542" w14:textId="77777777" w:rsidR="00861EBF" w:rsidRPr="00565933" w:rsidRDefault="00861EBF" w:rsidP="00565933">
      <w:pPr>
        <w:spacing w:after="0" w:line="240" w:lineRule="auto"/>
        <w:jc w:val="center"/>
        <w:rPr>
          <w:rFonts w:ascii="Arial" w:eastAsia="Calibri" w:hAnsi="Arial" w:cs="Arial"/>
          <w:b/>
          <w:bCs/>
          <w:spacing w:val="-3"/>
          <w:sz w:val="24"/>
          <w:szCs w:val="24"/>
        </w:rPr>
      </w:pPr>
    </w:p>
    <w:p w14:paraId="3A7AF66B" w14:textId="77777777" w:rsidR="00861EBF" w:rsidRPr="00565933" w:rsidRDefault="00861EBF" w:rsidP="00565933">
      <w:pPr>
        <w:spacing w:after="0" w:line="240" w:lineRule="auto"/>
        <w:jc w:val="center"/>
        <w:rPr>
          <w:rFonts w:ascii="Arial" w:eastAsia="Times New Roman" w:hAnsi="Arial" w:cs="Arial"/>
          <w:b/>
          <w:bCs/>
          <w:spacing w:val="-3"/>
          <w:sz w:val="24"/>
          <w:szCs w:val="24"/>
        </w:rPr>
      </w:pPr>
      <w:r w:rsidRPr="00565933">
        <w:rPr>
          <w:rFonts w:ascii="Arial" w:eastAsia="Times New Roman" w:hAnsi="Arial" w:cs="Arial"/>
          <w:b/>
          <w:bCs/>
          <w:spacing w:val="-3"/>
          <w:sz w:val="24"/>
          <w:szCs w:val="24"/>
        </w:rPr>
        <w:t>SOCIAL SECURITY (NORTHERN IRELAND) ORDER 1998</w:t>
      </w:r>
    </w:p>
    <w:p w14:paraId="1A4C4103" w14:textId="77777777" w:rsidR="00861EBF" w:rsidRDefault="00861EBF" w:rsidP="00565933">
      <w:pPr>
        <w:spacing w:after="0" w:line="240" w:lineRule="auto"/>
        <w:jc w:val="center"/>
        <w:rPr>
          <w:rFonts w:ascii="Arial" w:eastAsia="Calibri" w:hAnsi="Arial" w:cs="Arial"/>
          <w:spacing w:val="-3"/>
          <w:sz w:val="24"/>
          <w:szCs w:val="24"/>
        </w:rPr>
      </w:pPr>
    </w:p>
    <w:p w14:paraId="35E86326" w14:textId="77777777" w:rsidR="00565933" w:rsidRPr="00565933" w:rsidRDefault="00565933" w:rsidP="00565933">
      <w:pPr>
        <w:spacing w:after="0" w:line="240" w:lineRule="auto"/>
        <w:jc w:val="center"/>
        <w:rPr>
          <w:rFonts w:ascii="Arial" w:eastAsia="Calibri" w:hAnsi="Arial" w:cs="Arial"/>
          <w:spacing w:val="-3"/>
          <w:sz w:val="24"/>
          <w:szCs w:val="24"/>
        </w:rPr>
      </w:pPr>
    </w:p>
    <w:p w14:paraId="7A66D745" w14:textId="63C2545B" w:rsidR="00861EBF" w:rsidRPr="00565933" w:rsidRDefault="00986E84" w:rsidP="00565933">
      <w:pPr>
        <w:spacing w:after="0" w:line="240" w:lineRule="auto"/>
        <w:jc w:val="center"/>
        <w:rPr>
          <w:rFonts w:ascii="Arial" w:eastAsia="Calibri" w:hAnsi="Arial" w:cs="Arial"/>
          <w:b/>
          <w:bCs/>
          <w:spacing w:val="-3"/>
          <w:sz w:val="24"/>
          <w:szCs w:val="24"/>
          <w:u w:val="single"/>
        </w:rPr>
      </w:pPr>
      <w:r>
        <w:rPr>
          <w:rFonts w:ascii="Arial" w:eastAsia="Calibri" w:hAnsi="Arial" w:cs="Arial"/>
          <w:b/>
          <w:bCs/>
          <w:spacing w:val="-3"/>
          <w:sz w:val="24"/>
          <w:szCs w:val="24"/>
          <w:u w:val="single"/>
        </w:rPr>
        <w:t>PERSONAL INDEPENDENCE PAYMENT</w:t>
      </w:r>
    </w:p>
    <w:p w14:paraId="565D6155" w14:textId="77777777" w:rsidR="00861EBF" w:rsidRDefault="00861EBF" w:rsidP="00565933">
      <w:pPr>
        <w:spacing w:after="0" w:line="240" w:lineRule="auto"/>
        <w:jc w:val="center"/>
        <w:rPr>
          <w:rFonts w:ascii="Arial" w:hAnsi="Arial" w:cs="Arial"/>
          <w:spacing w:val="-3"/>
          <w:sz w:val="24"/>
          <w:szCs w:val="24"/>
        </w:rPr>
      </w:pPr>
    </w:p>
    <w:p w14:paraId="736FA158" w14:textId="77777777" w:rsidR="00565933" w:rsidRPr="00565933" w:rsidRDefault="00565933" w:rsidP="00565933">
      <w:pPr>
        <w:spacing w:after="0" w:line="240" w:lineRule="auto"/>
        <w:jc w:val="center"/>
        <w:rPr>
          <w:rFonts w:ascii="Arial" w:hAnsi="Arial" w:cs="Arial"/>
          <w:spacing w:val="-3"/>
          <w:sz w:val="24"/>
          <w:szCs w:val="24"/>
        </w:rPr>
      </w:pPr>
    </w:p>
    <w:p w14:paraId="576BF00A" w14:textId="77777777" w:rsidR="00861EBF" w:rsidRPr="00565933" w:rsidRDefault="00861EBF" w:rsidP="00565933">
      <w:pPr>
        <w:spacing w:after="0" w:line="240" w:lineRule="auto"/>
        <w:jc w:val="center"/>
        <w:rPr>
          <w:rFonts w:ascii="Arial" w:hAnsi="Arial" w:cs="Arial"/>
          <w:spacing w:val="-3"/>
          <w:sz w:val="24"/>
          <w:szCs w:val="24"/>
        </w:rPr>
      </w:pPr>
      <w:r w:rsidRPr="00565933">
        <w:rPr>
          <w:rFonts w:ascii="Arial" w:hAnsi="Arial" w:cs="Arial"/>
          <w:spacing w:val="-3"/>
          <w:sz w:val="24"/>
          <w:szCs w:val="24"/>
        </w:rPr>
        <w:t>Application to a Social Security Commissioner</w:t>
      </w:r>
    </w:p>
    <w:p w14:paraId="62E49AA1" w14:textId="77777777" w:rsidR="00861EBF" w:rsidRPr="00565933" w:rsidRDefault="00861EBF" w:rsidP="00565933">
      <w:pPr>
        <w:spacing w:after="0" w:line="240" w:lineRule="auto"/>
        <w:jc w:val="center"/>
        <w:rPr>
          <w:rFonts w:ascii="Arial" w:hAnsi="Arial" w:cs="Arial"/>
          <w:spacing w:val="-3"/>
          <w:sz w:val="24"/>
          <w:szCs w:val="24"/>
        </w:rPr>
      </w:pPr>
      <w:r w:rsidRPr="00565933">
        <w:rPr>
          <w:rFonts w:ascii="Arial" w:hAnsi="Arial" w:cs="Arial"/>
          <w:spacing w:val="-3"/>
          <w:sz w:val="24"/>
          <w:szCs w:val="24"/>
        </w:rPr>
        <w:t>for leave to appeal on a question of law from the decision of a Tribunal</w:t>
      </w:r>
    </w:p>
    <w:p w14:paraId="770CFB03" w14:textId="07A1571F" w:rsidR="00861EBF" w:rsidRPr="00565933" w:rsidRDefault="00861EBF" w:rsidP="00565933">
      <w:pPr>
        <w:spacing w:after="0" w:line="240" w:lineRule="auto"/>
        <w:jc w:val="center"/>
        <w:rPr>
          <w:rFonts w:ascii="Arial" w:hAnsi="Arial" w:cs="Arial"/>
          <w:spacing w:val="-3"/>
          <w:sz w:val="24"/>
          <w:szCs w:val="24"/>
        </w:rPr>
      </w:pPr>
      <w:r w:rsidRPr="00565933">
        <w:rPr>
          <w:rFonts w:ascii="Arial" w:hAnsi="Arial" w:cs="Arial"/>
          <w:spacing w:val="-3"/>
          <w:sz w:val="24"/>
          <w:szCs w:val="24"/>
        </w:rPr>
        <w:t>dated 15 June 2023</w:t>
      </w:r>
    </w:p>
    <w:p w14:paraId="48068AD7" w14:textId="77777777" w:rsidR="00861EBF" w:rsidRDefault="00861EBF" w:rsidP="00565933">
      <w:pPr>
        <w:spacing w:after="0" w:line="240" w:lineRule="auto"/>
        <w:jc w:val="center"/>
        <w:rPr>
          <w:rFonts w:ascii="Arial" w:hAnsi="Arial" w:cs="Arial"/>
          <w:spacing w:val="-3"/>
          <w:sz w:val="24"/>
          <w:szCs w:val="24"/>
        </w:rPr>
      </w:pPr>
    </w:p>
    <w:p w14:paraId="7F0607A9" w14:textId="77777777" w:rsidR="00565933" w:rsidRPr="00565933" w:rsidRDefault="00565933" w:rsidP="00565933">
      <w:pPr>
        <w:spacing w:after="0" w:line="240" w:lineRule="auto"/>
        <w:jc w:val="center"/>
        <w:rPr>
          <w:rFonts w:ascii="Arial" w:hAnsi="Arial" w:cs="Arial"/>
          <w:spacing w:val="-3"/>
          <w:sz w:val="24"/>
          <w:szCs w:val="24"/>
        </w:rPr>
      </w:pPr>
    </w:p>
    <w:p w14:paraId="3E09318C" w14:textId="4920B1EA" w:rsidR="00861EBF" w:rsidRPr="00565933" w:rsidRDefault="00861EBF" w:rsidP="00565933">
      <w:pPr>
        <w:spacing w:after="0" w:line="240" w:lineRule="auto"/>
        <w:jc w:val="center"/>
        <w:rPr>
          <w:rFonts w:ascii="Arial" w:hAnsi="Arial" w:cs="Arial"/>
          <w:spacing w:val="-3"/>
          <w:sz w:val="24"/>
          <w:szCs w:val="24"/>
          <w:u w:val="single"/>
        </w:rPr>
      </w:pPr>
      <w:r w:rsidRPr="00565933">
        <w:rPr>
          <w:rFonts w:ascii="Arial" w:hAnsi="Arial" w:cs="Arial"/>
          <w:spacing w:val="-3"/>
          <w:sz w:val="24"/>
          <w:szCs w:val="24"/>
          <w:u w:val="single"/>
        </w:rPr>
        <w:t>DECISION OF THE SOCIAL SECURITY COMMISSIONER</w:t>
      </w:r>
    </w:p>
    <w:p w14:paraId="01BEA0BA" w14:textId="77777777" w:rsidR="00861EBF" w:rsidRDefault="00861EBF" w:rsidP="00565933">
      <w:pPr>
        <w:spacing w:after="0" w:line="240" w:lineRule="auto"/>
        <w:jc w:val="both"/>
        <w:rPr>
          <w:rFonts w:ascii="Arial" w:hAnsi="Arial" w:cs="Arial"/>
          <w:sz w:val="24"/>
          <w:szCs w:val="24"/>
        </w:rPr>
      </w:pPr>
    </w:p>
    <w:p w14:paraId="1017879B" w14:textId="77777777" w:rsidR="00565933" w:rsidRPr="00565933" w:rsidRDefault="00565933" w:rsidP="00565933">
      <w:pPr>
        <w:spacing w:after="0" w:line="240" w:lineRule="auto"/>
        <w:jc w:val="both"/>
        <w:rPr>
          <w:rFonts w:ascii="Arial" w:hAnsi="Arial" w:cs="Arial"/>
          <w:sz w:val="24"/>
          <w:szCs w:val="24"/>
        </w:rPr>
      </w:pPr>
    </w:p>
    <w:p w14:paraId="0928C362" w14:textId="07D87A9C" w:rsidR="00861EBF" w:rsidRPr="00565933" w:rsidRDefault="00861EBF" w:rsidP="00E30272">
      <w:pPr>
        <w:tabs>
          <w:tab w:val="left" w:pos="510"/>
          <w:tab w:val="left" w:pos="1077"/>
          <w:tab w:val="left" w:pos="1797"/>
        </w:tabs>
        <w:spacing w:after="0" w:line="240" w:lineRule="auto"/>
        <w:jc w:val="both"/>
        <w:rPr>
          <w:rFonts w:ascii="Arial" w:hAnsi="Arial" w:cs="Arial"/>
          <w:sz w:val="24"/>
          <w:szCs w:val="24"/>
        </w:rPr>
      </w:pPr>
      <w:r w:rsidRPr="00565933">
        <w:rPr>
          <w:rFonts w:ascii="Arial" w:hAnsi="Arial" w:cs="Arial"/>
          <w:sz w:val="24"/>
          <w:szCs w:val="24"/>
        </w:rPr>
        <w:t>I grant leave to appeal</w:t>
      </w:r>
      <w:r w:rsidR="003823DE" w:rsidRPr="00565933">
        <w:rPr>
          <w:rFonts w:ascii="Arial" w:hAnsi="Arial" w:cs="Arial"/>
          <w:sz w:val="24"/>
          <w:szCs w:val="24"/>
        </w:rPr>
        <w:t xml:space="preserve">. </w:t>
      </w:r>
      <w:r w:rsidR="00E30272">
        <w:rPr>
          <w:rFonts w:ascii="Arial" w:hAnsi="Arial" w:cs="Arial"/>
          <w:sz w:val="24"/>
          <w:szCs w:val="24"/>
        </w:rPr>
        <w:t xml:space="preserve"> </w:t>
      </w:r>
      <w:r w:rsidRPr="00565933">
        <w:rPr>
          <w:rFonts w:ascii="Arial" w:hAnsi="Arial" w:cs="Arial"/>
          <w:sz w:val="24"/>
          <w:szCs w:val="24"/>
        </w:rPr>
        <w:t>I deal with the substantive appeal, which I allow</w:t>
      </w:r>
      <w:r w:rsidR="003823DE" w:rsidRPr="00565933">
        <w:rPr>
          <w:rFonts w:ascii="Arial" w:hAnsi="Arial" w:cs="Arial"/>
          <w:sz w:val="24"/>
          <w:szCs w:val="24"/>
        </w:rPr>
        <w:t xml:space="preserve">. </w:t>
      </w:r>
      <w:r w:rsidR="00E30272">
        <w:rPr>
          <w:rFonts w:ascii="Arial" w:hAnsi="Arial" w:cs="Arial"/>
          <w:sz w:val="24"/>
          <w:szCs w:val="24"/>
        </w:rPr>
        <w:t xml:space="preserve"> </w:t>
      </w:r>
      <w:r w:rsidRPr="00565933">
        <w:rPr>
          <w:rFonts w:ascii="Arial" w:hAnsi="Arial" w:cs="Arial"/>
          <w:sz w:val="24"/>
          <w:szCs w:val="24"/>
        </w:rPr>
        <w:t xml:space="preserve">I set aside the decision of the Tribunal sitting at Belfast on 15 June 2023 as being in error of law. </w:t>
      </w:r>
      <w:r w:rsidR="00E30272">
        <w:rPr>
          <w:rFonts w:ascii="Arial" w:hAnsi="Arial" w:cs="Arial"/>
          <w:sz w:val="24"/>
          <w:szCs w:val="24"/>
        </w:rPr>
        <w:t xml:space="preserve"> </w:t>
      </w:r>
      <w:r w:rsidRPr="00565933">
        <w:rPr>
          <w:rFonts w:ascii="Arial" w:hAnsi="Arial" w:cs="Arial"/>
          <w:sz w:val="24"/>
          <w:szCs w:val="24"/>
        </w:rPr>
        <w:t>I remit the matter back to a freshly constituted Tribunal with the following directions.</w:t>
      </w:r>
    </w:p>
    <w:p w14:paraId="7BDC48D6" w14:textId="77777777" w:rsidR="00861EBF" w:rsidRPr="00565933" w:rsidRDefault="00861EBF" w:rsidP="00E30272">
      <w:pPr>
        <w:tabs>
          <w:tab w:val="left" w:pos="510"/>
          <w:tab w:val="left" w:pos="1077"/>
          <w:tab w:val="left" w:pos="1797"/>
        </w:tabs>
        <w:spacing w:after="0" w:line="240" w:lineRule="auto"/>
        <w:jc w:val="both"/>
        <w:rPr>
          <w:rFonts w:ascii="Arial" w:hAnsi="Arial" w:cs="Arial"/>
          <w:sz w:val="24"/>
          <w:szCs w:val="24"/>
        </w:rPr>
      </w:pPr>
    </w:p>
    <w:p w14:paraId="4CE34074" w14:textId="1E329B36" w:rsidR="00861EBF" w:rsidRPr="00565933" w:rsidRDefault="00BC55A5" w:rsidP="00E30272">
      <w:pPr>
        <w:tabs>
          <w:tab w:val="left" w:pos="510"/>
          <w:tab w:val="left" w:pos="1077"/>
          <w:tab w:val="left" w:pos="1797"/>
        </w:tabs>
        <w:spacing w:after="0" w:line="240" w:lineRule="auto"/>
        <w:jc w:val="both"/>
        <w:rPr>
          <w:rFonts w:ascii="Arial" w:hAnsi="Arial" w:cs="Arial"/>
          <w:b/>
          <w:bCs/>
          <w:sz w:val="24"/>
          <w:szCs w:val="24"/>
          <w:u w:val="single"/>
        </w:rPr>
      </w:pPr>
      <w:r w:rsidRPr="00BC55A5">
        <w:rPr>
          <w:rFonts w:ascii="Arial" w:hAnsi="Arial" w:cs="Arial"/>
          <w:b/>
          <w:bCs/>
          <w:sz w:val="24"/>
          <w:szCs w:val="24"/>
        </w:rPr>
        <w:tab/>
      </w:r>
      <w:r w:rsidR="00861EBF" w:rsidRPr="00565933">
        <w:rPr>
          <w:rFonts w:ascii="Arial" w:hAnsi="Arial" w:cs="Arial"/>
          <w:b/>
          <w:bCs/>
          <w:sz w:val="24"/>
          <w:szCs w:val="24"/>
          <w:u w:val="single"/>
        </w:rPr>
        <w:t>Directions</w:t>
      </w:r>
    </w:p>
    <w:p w14:paraId="452C8379" w14:textId="77777777" w:rsidR="00861EBF" w:rsidRPr="00565933" w:rsidRDefault="00861EBF" w:rsidP="00E30272">
      <w:pPr>
        <w:tabs>
          <w:tab w:val="left" w:pos="510"/>
          <w:tab w:val="left" w:pos="1077"/>
          <w:tab w:val="left" w:pos="1797"/>
        </w:tabs>
        <w:spacing w:after="0" w:line="240" w:lineRule="auto"/>
        <w:rPr>
          <w:rFonts w:ascii="Arial" w:hAnsi="Arial" w:cs="Arial"/>
          <w:sz w:val="24"/>
          <w:szCs w:val="24"/>
        </w:rPr>
      </w:pPr>
    </w:p>
    <w:p w14:paraId="57BC90EC" w14:textId="1019E056" w:rsidR="00861EBF" w:rsidRPr="00565933" w:rsidRDefault="00E30272" w:rsidP="00E3027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861EBF" w:rsidRPr="00565933">
        <w:rPr>
          <w:rFonts w:ascii="Arial" w:hAnsi="Arial" w:cs="Arial"/>
          <w:sz w:val="24"/>
          <w:szCs w:val="24"/>
        </w:rPr>
        <w:t>The fresh appeal will be listed before a new tribunal</w:t>
      </w:r>
      <w:r w:rsidR="00C81D45" w:rsidRPr="00565933">
        <w:rPr>
          <w:rFonts w:ascii="Arial" w:hAnsi="Arial" w:cs="Arial"/>
          <w:sz w:val="24"/>
          <w:szCs w:val="24"/>
        </w:rPr>
        <w:t>, that is, one</w:t>
      </w:r>
      <w:r w:rsidR="00861EBF" w:rsidRPr="00565933">
        <w:rPr>
          <w:rFonts w:ascii="Arial" w:hAnsi="Arial" w:cs="Arial"/>
          <w:sz w:val="24"/>
          <w:szCs w:val="24"/>
        </w:rPr>
        <w:t xml:space="preserve"> with none of the same members as previously. </w:t>
      </w:r>
      <w:r>
        <w:rPr>
          <w:rFonts w:ascii="Arial" w:hAnsi="Arial" w:cs="Arial"/>
          <w:sz w:val="24"/>
          <w:szCs w:val="24"/>
        </w:rPr>
        <w:t xml:space="preserve"> </w:t>
      </w:r>
      <w:r w:rsidR="00861EBF" w:rsidRPr="00565933">
        <w:rPr>
          <w:rFonts w:ascii="Arial" w:hAnsi="Arial" w:cs="Arial"/>
          <w:sz w:val="24"/>
          <w:szCs w:val="24"/>
        </w:rPr>
        <w:t xml:space="preserve">It will be listed as an oral hearing, and it is in the claimant’s interests to attend, either in person, by phone or virtually, as </w:t>
      </w:r>
      <w:r w:rsidR="00C81D45" w:rsidRPr="00565933">
        <w:rPr>
          <w:rFonts w:ascii="Arial" w:hAnsi="Arial" w:cs="Arial"/>
          <w:sz w:val="24"/>
          <w:szCs w:val="24"/>
        </w:rPr>
        <w:t>she</w:t>
      </w:r>
      <w:r w:rsidR="00861EBF" w:rsidRPr="00565933">
        <w:rPr>
          <w:rFonts w:ascii="Arial" w:hAnsi="Arial" w:cs="Arial"/>
          <w:sz w:val="24"/>
          <w:szCs w:val="24"/>
        </w:rPr>
        <w:t xml:space="preserve"> prefer</w:t>
      </w:r>
      <w:r w:rsidR="00C81D45" w:rsidRPr="00565933">
        <w:rPr>
          <w:rFonts w:ascii="Arial" w:hAnsi="Arial" w:cs="Arial"/>
          <w:sz w:val="24"/>
          <w:szCs w:val="24"/>
        </w:rPr>
        <w:t xml:space="preserve">s, </w:t>
      </w:r>
      <w:r w:rsidR="00861EBF" w:rsidRPr="00565933">
        <w:rPr>
          <w:rFonts w:ascii="Arial" w:hAnsi="Arial" w:cs="Arial"/>
          <w:sz w:val="24"/>
          <w:szCs w:val="24"/>
        </w:rPr>
        <w:t xml:space="preserve">or </w:t>
      </w:r>
      <w:r w:rsidR="00C81D45" w:rsidRPr="00565933">
        <w:rPr>
          <w:rFonts w:ascii="Arial" w:hAnsi="Arial" w:cs="Arial"/>
          <w:sz w:val="24"/>
          <w:szCs w:val="24"/>
        </w:rPr>
        <w:t xml:space="preserve">as is </w:t>
      </w:r>
      <w:r w:rsidR="00861EBF" w:rsidRPr="00565933">
        <w:rPr>
          <w:rFonts w:ascii="Arial" w:hAnsi="Arial" w:cs="Arial"/>
          <w:sz w:val="24"/>
          <w:szCs w:val="24"/>
        </w:rPr>
        <w:t>practical</w:t>
      </w:r>
      <w:r w:rsidR="003823DE" w:rsidRPr="00565933">
        <w:rPr>
          <w:rFonts w:ascii="Arial" w:hAnsi="Arial" w:cs="Arial"/>
          <w:sz w:val="24"/>
          <w:szCs w:val="24"/>
        </w:rPr>
        <w:t>.</w:t>
      </w:r>
    </w:p>
    <w:p w14:paraId="3D717AF4" w14:textId="77777777" w:rsidR="00505050" w:rsidRPr="00565933" w:rsidRDefault="00505050" w:rsidP="00E30272">
      <w:pPr>
        <w:tabs>
          <w:tab w:val="left" w:pos="510"/>
          <w:tab w:val="left" w:pos="1077"/>
          <w:tab w:val="left" w:pos="1797"/>
        </w:tabs>
        <w:spacing w:after="0" w:line="240" w:lineRule="auto"/>
        <w:ind w:left="510" w:hanging="510"/>
        <w:jc w:val="both"/>
        <w:rPr>
          <w:rFonts w:ascii="Arial" w:hAnsi="Arial" w:cs="Arial"/>
          <w:sz w:val="24"/>
          <w:szCs w:val="24"/>
        </w:rPr>
      </w:pPr>
    </w:p>
    <w:p w14:paraId="78109103" w14:textId="67B8D366" w:rsidR="00861EBF" w:rsidRPr="00565933" w:rsidRDefault="00E30272" w:rsidP="00E3027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C81D45" w:rsidRPr="00565933">
        <w:rPr>
          <w:rFonts w:ascii="Arial" w:hAnsi="Arial" w:cs="Arial"/>
          <w:sz w:val="24"/>
          <w:szCs w:val="24"/>
        </w:rPr>
        <w:t xml:space="preserve">She must tell </w:t>
      </w:r>
      <w:r w:rsidR="00861EBF" w:rsidRPr="00565933">
        <w:rPr>
          <w:rFonts w:ascii="Arial" w:hAnsi="Arial" w:cs="Arial"/>
          <w:sz w:val="24"/>
          <w:szCs w:val="24"/>
        </w:rPr>
        <w:t>the Appeals Service</w:t>
      </w:r>
      <w:r w:rsidR="009773AA" w:rsidRPr="00565933">
        <w:rPr>
          <w:rFonts w:ascii="Arial" w:hAnsi="Arial" w:cs="Arial"/>
          <w:sz w:val="24"/>
          <w:szCs w:val="24"/>
        </w:rPr>
        <w:t xml:space="preserve"> </w:t>
      </w:r>
      <w:r w:rsidR="00610DA1" w:rsidRPr="00565933">
        <w:rPr>
          <w:rFonts w:ascii="Arial" w:hAnsi="Arial" w:cs="Arial"/>
          <w:sz w:val="24"/>
          <w:szCs w:val="24"/>
        </w:rPr>
        <w:t xml:space="preserve">(TAS) </w:t>
      </w:r>
      <w:r w:rsidR="00C81D45" w:rsidRPr="00565933">
        <w:rPr>
          <w:rFonts w:ascii="Arial" w:hAnsi="Arial" w:cs="Arial"/>
          <w:sz w:val="24"/>
          <w:szCs w:val="24"/>
        </w:rPr>
        <w:t xml:space="preserve">in writing (post or email as is usual) which sort of hearing she would prefer </w:t>
      </w:r>
      <w:r w:rsidR="00861EBF" w:rsidRPr="00565933">
        <w:rPr>
          <w:rFonts w:ascii="Arial" w:hAnsi="Arial" w:cs="Arial"/>
          <w:sz w:val="24"/>
          <w:szCs w:val="24"/>
        </w:rPr>
        <w:t>within 14 days of the issue of this decision.</w:t>
      </w:r>
    </w:p>
    <w:p w14:paraId="5E583C93" w14:textId="77777777" w:rsidR="00505050" w:rsidRPr="00565933" w:rsidRDefault="00505050" w:rsidP="00E30272">
      <w:pPr>
        <w:tabs>
          <w:tab w:val="left" w:pos="510"/>
          <w:tab w:val="left" w:pos="1077"/>
          <w:tab w:val="left" w:pos="1797"/>
        </w:tabs>
        <w:spacing w:after="0" w:line="240" w:lineRule="auto"/>
        <w:ind w:left="510" w:hanging="510"/>
        <w:jc w:val="both"/>
        <w:rPr>
          <w:rFonts w:ascii="Arial" w:hAnsi="Arial" w:cs="Arial"/>
          <w:sz w:val="24"/>
          <w:szCs w:val="24"/>
        </w:rPr>
      </w:pPr>
    </w:p>
    <w:p w14:paraId="2E9813C8" w14:textId="63C9FDD4" w:rsidR="00861EBF" w:rsidRPr="00565933" w:rsidRDefault="00E30272" w:rsidP="00E3027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C81D45" w:rsidRPr="00565933">
        <w:rPr>
          <w:rFonts w:ascii="Arial" w:hAnsi="Arial" w:cs="Arial"/>
          <w:sz w:val="24"/>
          <w:szCs w:val="24"/>
        </w:rPr>
        <w:t xml:space="preserve">She </w:t>
      </w:r>
      <w:r w:rsidR="00861EBF" w:rsidRPr="00565933">
        <w:rPr>
          <w:rFonts w:ascii="Arial" w:hAnsi="Arial" w:cs="Arial"/>
          <w:sz w:val="24"/>
          <w:szCs w:val="24"/>
        </w:rPr>
        <w:t>should understand that the tribunal is loo</w:t>
      </w:r>
      <w:r w:rsidR="00C81D45" w:rsidRPr="00565933">
        <w:rPr>
          <w:rFonts w:ascii="Arial" w:hAnsi="Arial" w:cs="Arial"/>
          <w:sz w:val="24"/>
          <w:szCs w:val="24"/>
        </w:rPr>
        <w:t>k</w:t>
      </w:r>
      <w:r w:rsidR="00861EBF" w:rsidRPr="00565933">
        <w:rPr>
          <w:rFonts w:ascii="Arial" w:hAnsi="Arial" w:cs="Arial"/>
          <w:sz w:val="24"/>
          <w:szCs w:val="24"/>
        </w:rPr>
        <w:t>ing at how her medical conditions affected her function during the qualifying period before the decision under appeal</w:t>
      </w:r>
      <w:r w:rsidR="003823DE" w:rsidRPr="00565933">
        <w:rPr>
          <w:rFonts w:ascii="Arial" w:hAnsi="Arial" w:cs="Arial"/>
          <w:sz w:val="24"/>
          <w:szCs w:val="24"/>
        </w:rPr>
        <w:t xml:space="preserve">. </w:t>
      </w:r>
      <w:r>
        <w:rPr>
          <w:rFonts w:ascii="Arial" w:hAnsi="Arial" w:cs="Arial"/>
          <w:sz w:val="24"/>
          <w:szCs w:val="24"/>
        </w:rPr>
        <w:t xml:space="preserve"> </w:t>
      </w:r>
      <w:r w:rsidR="00861EBF" w:rsidRPr="00565933">
        <w:rPr>
          <w:rFonts w:ascii="Arial" w:hAnsi="Arial" w:cs="Arial"/>
          <w:sz w:val="24"/>
          <w:szCs w:val="24"/>
        </w:rPr>
        <w:t xml:space="preserve">The tribunal can consider things that have happened since then only if they shed light on what the position was likely to have been </w:t>
      </w:r>
      <w:r w:rsidR="00C81D45" w:rsidRPr="00565933">
        <w:rPr>
          <w:rFonts w:ascii="Arial" w:hAnsi="Arial" w:cs="Arial"/>
          <w:sz w:val="24"/>
          <w:szCs w:val="24"/>
        </w:rPr>
        <w:t>at the date of</w:t>
      </w:r>
      <w:r w:rsidR="00861EBF" w:rsidRPr="00565933">
        <w:rPr>
          <w:rFonts w:ascii="Arial" w:hAnsi="Arial" w:cs="Arial"/>
          <w:sz w:val="24"/>
          <w:szCs w:val="24"/>
        </w:rPr>
        <w:t xml:space="preserve"> the decision.</w:t>
      </w:r>
    </w:p>
    <w:p w14:paraId="24CE3ABE" w14:textId="77777777" w:rsidR="00505050" w:rsidRPr="00565933" w:rsidRDefault="00505050" w:rsidP="00E30272">
      <w:pPr>
        <w:tabs>
          <w:tab w:val="left" w:pos="510"/>
          <w:tab w:val="left" w:pos="1077"/>
          <w:tab w:val="left" w:pos="1797"/>
        </w:tabs>
        <w:spacing w:after="0" w:line="240" w:lineRule="auto"/>
        <w:ind w:left="510" w:hanging="510"/>
        <w:jc w:val="both"/>
        <w:rPr>
          <w:rFonts w:ascii="Arial" w:hAnsi="Arial" w:cs="Arial"/>
          <w:sz w:val="24"/>
          <w:szCs w:val="24"/>
        </w:rPr>
      </w:pPr>
    </w:p>
    <w:p w14:paraId="1B3BA485" w14:textId="6576DD67" w:rsidR="00861EBF" w:rsidRPr="00565933" w:rsidRDefault="00E30272" w:rsidP="00E3027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861EBF" w:rsidRPr="00565933">
        <w:rPr>
          <w:rFonts w:ascii="Arial" w:hAnsi="Arial" w:cs="Arial"/>
          <w:sz w:val="24"/>
          <w:szCs w:val="24"/>
        </w:rPr>
        <w:t xml:space="preserve">A Chairman of </w:t>
      </w:r>
      <w:r w:rsidR="00610DA1" w:rsidRPr="00565933">
        <w:rPr>
          <w:rFonts w:ascii="Arial" w:hAnsi="Arial" w:cs="Arial"/>
          <w:sz w:val="24"/>
          <w:szCs w:val="24"/>
        </w:rPr>
        <w:t>TAS</w:t>
      </w:r>
      <w:r w:rsidR="00861EBF" w:rsidRPr="00565933">
        <w:rPr>
          <w:rFonts w:ascii="Arial" w:hAnsi="Arial" w:cs="Arial"/>
          <w:sz w:val="24"/>
          <w:szCs w:val="24"/>
        </w:rPr>
        <w:t xml:space="preserve"> may extend </w:t>
      </w:r>
      <w:r w:rsidR="00505050" w:rsidRPr="00565933">
        <w:rPr>
          <w:rFonts w:ascii="Arial" w:hAnsi="Arial" w:cs="Arial"/>
          <w:sz w:val="24"/>
          <w:szCs w:val="24"/>
        </w:rPr>
        <w:t>time or</w:t>
      </w:r>
      <w:r w:rsidR="00861EBF" w:rsidRPr="00565933">
        <w:rPr>
          <w:rFonts w:ascii="Arial" w:hAnsi="Arial" w:cs="Arial"/>
          <w:sz w:val="24"/>
          <w:szCs w:val="24"/>
        </w:rPr>
        <w:t xml:space="preserve"> make any further necessary listing </w:t>
      </w:r>
      <w:r w:rsidR="00505050" w:rsidRPr="00565933">
        <w:rPr>
          <w:rFonts w:ascii="Arial" w:hAnsi="Arial" w:cs="Arial"/>
          <w:sz w:val="24"/>
          <w:szCs w:val="24"/>
        </w:rPr>
        <w:t>directions.</w:t>
      </w:r>
    </w:p>
    <w:p w14:paraId="5A233305" w14:textId="77777777" w:rsidR="00861EBF" w:rsidRPr="00565933" w:rsidRDefault="00861EBF" w:rsidP="00E30272">
      <w:pPr>
        <w:tabs>
          <w:tab w:val="left" w:pos="510"/>
          <w:tab w:val="left" w:pos="1077"/>
          <w:tab w:val="left" w:pos="1797"/>
        </w:tabs>
        <w:spacing w:after="0" w:line="240" w:lineRule="auto"/>
        <w:rPr>
          <w:rFonts w:ascii="Arial" w:hAnsi="Arial" w:cs="Arial"/>
          <w:sz w:val="24"/>
          <w:szCs w:val="24"/>
        </w:rPr>
      </w:pPr>
    </w:p>
    <w:p w14:paraId="506E762A" w14:textId="77777777" w:rsidR="009A52CF" w:rsidRDefault="009A52CF">
      <w:pPr>
        <w:rPr>
          <w:rFonts w:ascii="Arial" w:hAnsi="Arial" w:cs="Arial"/>
          <w:b/>
          <w:sz w:val="24"/>
          <w:szCs w:val="24"/>
          <w:u w:val="single"/>
        </w:rPr>
      </w:pPr>
      <w:r>
        <w:rPr>
          <w:rFonts w:ascii="Arial" w:hAnsi="Arial" w:cs="Arial"/>
          <w:b/>
          <w:sz w:val="24"/>
          <w:szCs w:val="24"/>
          <w:u w:val="single"/>
        </w:rPr>
        <w:br w:type="page"/>
      </w:r>
    </w:p>
    <w:p w14:paraId="43785A4E" w14:textId="1016A96D" w:rsidR="00861EBF" w:rsidRPr="00565933" w:rsidRDefault="00861EBF" w:rsidP="009A52CF">
      <w:pPr>
        <w:tabs>
          <w:tab w:val="left" w:pos="510"/>
          <w:tab w:val="left" w:pos="1077"/>
          <w:tab w:val="left" w:pos="1797"/>
        </w:tabs>
        <w:spacing w:after="0" w:line="240" w:lineRule="auto"/>
        <w:jc w:val="center"/>
        <w:rPr>
          <w:rFonts w:ascii="Arial" w:hAnsi="Arial" w:cs="Arial"/>
          <w:b/>
          <w:sz w:val="24"/>
          <w:szCs w:val="24"/>
          <w:u w:val="single"/>
        </w:rPr>
      </w:pPr>
      <w:r w:rsidRPr="00565933">
        <w:rPr>
          <w:rFonts w:ascii="Arial" w:hAnsi="Arial" w:cs="Arial"/>
          <w:b/>
          <w:sz w:val="24"/>
          <w:szCs w:val="24"/>
          <w:u w:val="single"/>
        </w:rPr>
        <w:lastRenderedPageBreak/>
        <w:t>REASONS</w:t>
      </w:r>
    </w:p>
    <w:p w14:paraId="2579555D" w14:textId="77777777" w:rsidR="00824470" w:rsidRPr="009A52CF" w:rsidRDefault="00824470" w:rsidP="00E30272">
      <w:pPr>
        <w:tabs>
          <w:tab w:val="left" w:pos="510"/>
          <w:tab w:val="left" w:pos="1077"/>
          <w:tab w:val="left" w:pos="1797"/>
        </w:tabs>
        <w:spacing w:after="0" w:line="240" w:lineRule="auto"/>
        <w:jc w:val="both"/>
        <w:rPr>
          <w:rFonts w:ascii="Arial" w:hAnsi="Arial" w:cs="Arial"/>
          <w:bCs/>
          <w:sz w:val="24"/>
          <w:szCs w:val="24"/>
          <w:u w:val="single"/>
        </w:rPr>
      </w:pPr>
    </w:p>
    <w:p w14:paraId="534B4C64" w14:textId="302F0FDF" w:rsidR="00824470" w:rsidRDefault="009A52CF" w:rsidP="00E30272">
      <w:pPr>
        <w:tabs>
          <w:tab w:val="left" w:pos="510"/>
          <w:tab w:val="left" w:pos="1077"/>
          <w:tab w:val="left" w:pos="1797"/>
        </w:tabs>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ab/>
      </w:r>
      <w:r w:rsidR="00824470" w:rsidRPr="00565933">
        <w:rPr>
          <w:rFonts w:ascii="Arial" w:eastAsia="Times New Roman" w:hAnsi="Arial" w:cs="Arial"/>
          <w:b/>
          <w:bCs/>
          <w:sz w:val="24"/>
          <w:szCs w:val="24"/>
        </w:rPr>
        <w:t>Proceedings before the Commissioners</w:t>
      </w:r>
    </w:p>
    <w:p w14:paraId="08AEACFD" w14:textId="77777777" w:rsidR="009A52CF" w:rsidRPr="009A52CF" w:rsidRDefault="009A52CF" w:rsidP="009A52CF">
      <w:pPr>
        <w:tabs>
          <w:tab w:val="left" w:pos="510"/>
          <w:tab w:val="left" w:pos="1077"/>
          <w:tab w:val="left" w:pos="1797"/>
        </w:tabs>
        <w:spacing w:after="0" w:line="240" w:lineRule="auto"/>
        <w:contextualSpacing/>
        <w:rPr>
          <w:rFonts w:ascii="Arial" w:eastAsia="Times New Roman" w:hAnsi="Arial" w:cs="Arial"/>
          <w:sz w:val="24"/>
          <w:szCs w:val="24"/>
        </w:rPr>
      </w:pPr>
    </w:p>
    <w:p w14:paraId="2EB537E6" w14:textId="289EBDE7" w:rsidR="00465E77" w:rsidRPr="00565933" w:rsidRDefault="007561B3"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hAnsi="Arial" w:cs="Arial"/>
          <w:bCs/>
          <w:sz w:val="24"/>
          <w:szCs w:val="24"/>
        </w:rPr>
        <w:t>1.</w:t>
      </w:r>
      <w:r>
        <w:rPr>
          <w:rFonts w:ascii="Arial" w:hAnsi="Arial" w:cs="Arial"/>
          <w:bCs/>
          <w:sz w:val="24"/>
          <w:szCs w:val="24"/>
        </w:rPr>
        <w:tab/>
      </w:r>
      <w:r w:rsidR="009D7CEA" w:rsidRPr="00565933">
        <w:rPr>
          <w:rFonts w:ascii="Arial" w:hAnsi="Arial" w:cs="Arial"/>
          <w:bCs/>
          <w:sz w:val="24"/>
          <w:szCs w:val="24"/>
        </w:rPr>
        <w:t xml:space="preserve">As I am granting </w:t>
      </w:r>
      <w:r w:rsidR="00465E77" w:rsidRPr="00565933">
        <w:rPr>
          <w:rFonts w:ascii="Arial" w:hAnsi="Arial" w:cs="Arial"/>
          <w:bCs/>
          <w:sz w:val="24"/>
          <w:szCs w:val="24"/>
        </w:rPr>
        <w:t xml:space="preserve">the application for </w:t>
      </w:r>
      <w:r w:rsidR="009D7CEA" w:rsidRPr="00565933">
        <w:rPr>
          <w:rFonts w:ascii="Arial" w:hAnsi="Arial" w:cs="Arial"/>
          <w:bCs/>
          <w:sz w:val="24"/>
          <w:szCs w:val="24"/>
        </w:rPr>
        <w:t>leave</w:t>
      </w:r>
      <w:r w:rsidR="00465E77" w:rsidRPr="00565933">
        <w:rPr>
          <w:rFonts w:ascii="Arial" w:hAnsi="Arial" w:cs="Arial"/>
          <w:bCs/>
          <w:sz w:val="24"/>
          <w:szCs w:val="24"/>
        </w:rPr>
        <w:t xml:space="preserve"> to appeal,</w:t>
      </w:r>
      <w:r w:rsidR="009D7CEA" w:rsidRPr="00565933">
        <w:rPr>
          <w:rFonts w:ascii="Arial" w:hAnsi="Arial" w:cs="Arial"/>
          <w:bCs/>
          <w:sz w:val="24"/>
          <w:szCs w:val="24"/>
        </w:rPr>
        <w:t xml:space="preserve"> I refer to the applicant as either the appellant or the claimant.</w:t>
      </w:r>
    </w:p>
    <w:p w14:paraId="04DE6935" w14:textId="77777777" w:rsidR="00505050" w:rsidRPr="00565933" w:rsidRDefault="00505050"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p>
    <w:p w14:paraId="3368B427" w14:textId="6BD80C9E" w:rsidR="004E3697" w:rsidRPr="00565933" w:rsidRDefault="007561B3"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eastAsia="Calibri" w:hAnsi="Arial" w:cs="Arial"/>
          <w:sz w:val="24"/>
          <w:szCs w:val="24"/>
        </w:rPr>
        <w:t>2.</w:t>
      </w:r>
      <w:r>
        <w:rPr>
          <w:rFonts w:ascii="Arial" w:eastAsia="Calibri" w:hAnsi="Arial" w:cs="Arial"/>
          <w:sz w:val="24"/>
          <w:szCs w:val="24"/>
        </w:rPr>
        <w:tab/>
      </w:r>
      <w:r w:rsidR="00465E77" w:rsidRPr="00565933">
        <w:rPr>
          <w:rFonts w:ascii="Arial" w:eastAsia="Calibri" w:hAnsi="Arial" w:cs="Arial"/>
          <w:sz w:val="24"/>
          <w:szCs w:val="24"/>
        </w:rPr>
        <w:t xml:space="preserve">The tribunal decision </w:t>
      </w:r>
      <w:r w:rsidR="004E3697" w:rsidRPr="00565933">
        <w:rPr>
          <w:rFonts w:ascii="Arial" w:eastAsia="Calibri" w:hAnsi="Arial" w:cs="Arial"/>
          <w:sz w:val="24"/>
          <w:szCs w:val="24"/>
        </w:rPr>
        <w:t xml:space="preserve">before me </w:t>
      </w:r>
      <w:r w:rsidR="00465E77" w:rsidRPr="00565933">
        <w:rPr>
          <w:rFonts w:ascii="Arial" w:eastAsia="Calibri" w:hAnsi="Arial" w:cs="Arial"/>
          <w:sz w:val="24"/>
          <w:szCs w:val="24"/>
        </w:rPr>
        <w:t xml:space="preserve">adopted the conclusion of the decision maker as to there being no entitlement to the </w:t>
      </w:r>
      <w:r w:rsidR="00610DA1" w:rsidRPr="00565933">
        <w:rPr>
          <w:rFonts w:ascii="Arial" w:eastAsia="Calibri" w:hAnsi="Arial" w:cs="Arial"/>
          <w:sz w:val="24"/>
          <w:szCs w:val="24"/>
        </w:rPr>
        <w:t>Personal Independence Payment (</w:t>
      </w:r>
      <w:r w:rsidR="004E3697" w:rsidRPr="00565933">
        <w:rPr>
          <w:rFonts w:ascii="Arial" w:eastAsia="Calibri" w:hAnsi="Arial" w:cs="Arial"/>
          <w:sz w:val="24"/>
          <w:szCs w:val="24"/>
        </w:rPr>
        <w:t>PIP</w:t>
      </w:r>
      <w:r w:rsidR="00610DA1" w:rsidRPr="00565933">
        <w:rPr>
          <w:rFonts w:ascii="Arial" w:eastAsia="Calibri" w:hAnsi="Arial" w:cs="Arial"/>
          <w:sz w:val="24"/>
          <w:szCs w:val="24"/>
        </w:rPr>
        <w:t>)</w:t>
      </w:r>
      <w:r w:rsidR="004E3697" w:rsidRPr="00565933">
        <w:rPr>
          <w:rFonts w:ascii="Arial" w:eastAsia="Calibri" w:hAnsi="Arial" w:cs="Arial"/>
          <w:sz w:val="24"/>
          <w:szCs w:val="24"/>
        </w:rPr>
        <w:t xml:space="preserve"> </w:t>
      </w:r>
      <w:r w:rsidR="00465E77" w:rsidRPr="00565933">
        <w:rPr>
          <w:rFonts w:ascii="Arial" w:eastAsia="Calibri" w:hAnsi="Arial" w:cs="Arial"/>
          <w:sz w:val="24"/>
          <w:szCs w:val="24"/>
        </w:rPr>
        <w:t>daily living component</w:t>
      </w:r>
      <w:r w:rsidR="003823DE" w:rsidRPr="00565933">
        <w:rPr>
          <w:rFonts w:ascii="Arial" w:eastAsia="Calibri" w:hAnsi="Arial" w:cs="Arial"/>
          <w:sz w:val="24"/>
          <w:szCs w:val="24"/>
        </w:rPr>
        <w:t>.</w:t>
      </w:r>
      <w:r>
        <w:rPr>
          <w:rFonts w:ascii="Arial" w:eastAsia="Calibri" w:hAnsi="Arial" w:cs="Arial"/>
          <w:sz w:val="24"/>
          <w:szCs w:val="24"/>
        </w:rPr>
        <w:t xml:space="preserve"> </w:t>
      </w:r>
      <w:r w:rsidR="003823DE" w:rsidRPr="00565933">
        <w:rPr>
          <w:rFonts w:ascii="Arial" w:eastAsia="Calibri" w:hAnsi="Arial" w:cs="Arial"/>
          <w:sz w:val="24"/>
          <w:szCs w:val="24"/>
        </w:rPr>
        <w:t xml:space="preserve"> </w:t>
      </w:r>
      <w:r w:rsidR="00505050" w:rsidRPr="00565933">
        <w:rPr>
          <w:rFonts w:ascii="Arial" w:eastAsia="Calibri" w:hAnsi="Arial" w:cs="Arial"/>
          <w:sz w:val="24"/>
          <w:szCs w:val="24"/>
        </w:rPr>
        <w:t>It also</w:t>
      </w:r>
      <w:r w:rsidR="00465E77" w:rsidRPr="00565933">
        <w:rPr>
          <w:rFonts w:ascii="Arial" w:eastAsia="Calibri" w:hAnsi="Arial" w:cs="Arial"/>
          <w:sz w:val="24"/>
          <w:szCs w:val="24"/>
        </w:rPr>
        <w:t xml:space="preserve"> removed the mobility component</w:t>
      </w:r>
      <w:r w:rsidR="004E3697" w:rsidRPr="00565933">
        <w:rPr>
          <w:rFonts w:ascii="Arial" w:eastAsia="Calibri" w:hAnsi="Arial" w:cs="Arial"/>
          <w:sz w:val="24"/>
          <w:szCs w:val="24"/>
        </w:rPr>
        <w:t>,</w:t>
      </w:r>
      <w:r w:rsidR="00465E77" w:rsidRPr="00565933">
        <w:rPr>
          <w:rFonts w:ascii="Arial" w:eastAsia="Calibri" w:hAnsi="Arial" w:cs="Arial"/>
          <w:sz w:val="24"/>
          <w:szCs w:val="24"/>
        </w:rPr>
        <w:t xml:space="preserve"> which the</w:t>
      </w:r>
      <w:r w:rsidR="00B90028">
        <w:rPr>
          <w:rFonts w:ascii="Arial" w:eastAsia="Calibri" w:hAnsi="Arial" w:cs="Arial"/>
          <w:sz w:val="24"/>
          <w:szCs w:val="24"/>
        </w:rPr>
        <w:t xml:space="preserve"> Secretary of State for the</w:t>
      </w:r>
      <w:r w:rsidR="00465E77" w:rsidRPr="00565933">
        <w:rPr>
          <w:rFonts w:ascii="Arial" w:eastAsia="Calibri" w:hAnsi="Arial" w:cs="Arial"/>
          <w:sz w:val="24"/>
          <w:szCs w:val="24"/>
        </w:rPr>
        <w:t xml:space="preserve"> </w:t>
      </w:r>
      <w:r w:rsidR="0007503B" w:rsidRPr="00565933">
        <w:rPr>
          <w:rFonts w:ascii="Arial" w:eastAsia="Calibri" w:hAnsi="Arial" w:cs="Arial"/>
          <w:sz w:val="24"/>
          <w:szCs w:val="24"/>
        </w:rPr>
        <w:t xml:space="preserve">Department </w:t>
      </w:r>
      <w:r w:rsidR="004E3697" w:rsidRPr="00565933">
        <w:rPr>
          <w:rFonts w:ascii="Arial" w:eastAsia="Calibri" w:hAnsi="Arial" w:cs="Arial"/>
          <w:sz w:val="24"/>
          <w:szCs w:val="24"/>
        </w:rPr>
        <w:t>for</w:t>
      </w:r>
      <w:r w:rsidR="0007503B" w:rsidRPr="00565933">
        <w:rPr>
          <w:rFonts w:ascii="Arial" w:eastAsia="Calibri" w:hAnsi="Arial" w:cs="Arial"/>
          <w:sz w:val="24"/>
          <w:szCs w:val="24"/>
        </w:rPr>
        <w:t xml:space="preserve"> Communities (the </w:t>
      </w:r>
      <w:r w:rsidR="00610DA1" w:rsidRPr="00565933">
        <w:rPr>
          <w:rFonts w:ascii="Arial" w:eastAsia="Calibri" w:hAnsi="Arial" w:cs="Arial"/>
          <w:sz w:val="24"/>
          <w:szCs w:val="24"/>
        </w:rPr>
        <w:t>D</w:t>
      </w:r>
      <w:r w:rsidR="0007503B" w:rsidRPr="00565933">
        <w:rPr>
          <w:rFonts w:ascii="Arial" w:eastAsia="Calibri" w:hAnsi="Arial" w:cs="Arial"/>
          <w:sz w:val="24"/>
          <w:szCs w:val="24"/>
        </w:rPr>
        <w:t xml:space="preserve">epartment) </w:t>
      </w:r>
      <w:r w:rsidR="00465E77" w:rsidRPr="00565933">
        <w:rPr>
          <w:rFonts w:ascii="Arial" w:eastAsia="Calibri" w:hAnsi="Arial" w:cs="Arial"/>
          <w:sz w:val="24"/>
          <w:szCs w:val="24"/>
        </w:rPr>
        <w:t>had put into payment at the standard rate, leaving the claimant without an award.</w:t>
      </w:r>
    </w:p>
    <w:p w14:paraId="5EB8A185" w14:textId="77777777" w:rsidR="00505050" w:rsidRPr="00565933" w:rsidRDefault="00505050"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p>
    <w:p w14:paraId="08A9BAD8" w14:textId="40485265" w:rsidR="00824470" w:rsidRPr="00565933" w:rsidRDefault="007561B3"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eastAsia="Calibri" w:hAnsi="Arial" w:cs="Arial"/>
          <w:sz w:val="24"/>
          <w:szCs w:val="24"/>
        </w:rPr>
        <w:t>3.</w:t>
      </w:r>
      <w:r>
        <w:rPr>
          <w:rFonts w:ascii="Arial" w:eastAsia="Calibri" w:hAnsi="Arial" w:cs="Arial"/>
          <w:sz w:val="24"/>
          <w:szCs w:val="24"/>
        </w:rPr>
        <w:tab/>
      </w:r>
      <w:r w:rsidR="00465E77" w:rsidRPr="00565933">
        <w:rPr>
          <w:rFonts w:ascii="Arial" w:eastAsia="Calibri" w:hAnsi="Arial" w:cs="Arial"/>
          <w:sz w:val="24"/>
          <w:szCs w:val="24"/>
        </w:rPr>
        <w:t xml:space="preserve">The application for leave to appeal </w:t>
      </w:r>
      <w:r w:rsidR="00415D0B" w:rsidRPr="00565933">
        <w:rPr>
          <w:rFonts w:ascii="Arial" w:hAnsi="Arial" w:cs="Arial"/>
          <w:bCs/>
          <w:sz w:val="24"/>
          <w:szCs w:val="24"/>
        </w:rPr>
        <w:t xml:space="preserve">to the </w:t>
      </w:r>
      <w:r w:rsidR="00A92F5C" w:rsidRPr="00565933">
        <w:rPr>
          <w:rFonts w:ascii="Arial" w:hAnsi="Arial" w:cs="Arial"/>
          <w:bCs/>
          <w:sz w:val="24"/>
          <w:szCs w:val="24"/>
        </w:rPr>
        <w:t>Commissioner</w:t>
      </w:r>
      <w:r w:rsidR="00415D0B" w:rsidRPr="00565933">
        <w:rPr>
          <w:rFonts w:ascii="Arial" w:hAnsi="Arial" w:cs="Arial"/>
          <w:bCs/>
          <w:sz w:val="24"/>
          <w:szCs w:val="24"/>
        </w:rPr>
        <w:t xml:space="preserve"> </w:t>
      </w:r>
      <w:r w:rsidR="00465E77" w:rsidRPr="00565933">
        <w:rPr>
          <w:rFonts w:ascii="Arial" w:hAnsi="Arial" w:cs="Arial"/>
          <w:bCs/>
          <w:sz w:val="24"/>
          <w:szCs w:val="24"/>
        </w:rPr>
        <w:t xml:space="preserve">was </w:t>
      </w:r>
      <w:r w:rsidR="00415D0B" w:rsidRPr="00565933">
        <w:rPr>
          <w:rFonts w:ascii="Arial" w:hAnsi="Arial" w:cs="Arial"/>
          <w:bCs/>
          <w:sz w:val="24"/>
          <w:szCs w:val="24"/>
        </w:rPr>
        <w:t>refus</w:t>
      </w:r>
      <w:r w:rsidR="00465E77" w:rsidRPr="00565933">
        <w:rPr>
          <w:rFonts w:ascii="Arial" w:hAnsi="Arial" w:cs="Arial"/>
          <w:bCs/>
          <w:sz w:val="24"/>
          <w:szCs w:val="24"/>
        </w:rPr>
        <w:t xml:space="preserve">ed </w:t>
      </w:r>
      <w:r w:rsidR="00415D0B" w:rsidRPr="00565933">
        <w:rPr>
          <w:rFonts w:ascii="Arial" w:hAnsi="Arial" w:cs="Arial"/>
          <w:bCs/>
          <w:sz w:val="24"/>
          <w:szCs w:val="24"/>
        </w:rPr>
        <w:t xml:space="preserve">by the </w:t>
      </w:r>
      <w:r w:rsidR="00A92F5C" w:rsidRPr="00565933">
        <w:rPr>
          <w:rFonts w:ascii="Arial" w:hAnsi="Arial" w:cs="Arial"/>
          <w:bCs/>
          <w:sz w:val="24"/>
          <w:szCs w:val="24"/>
        </w:rPr>
        <w:t>l</w:t>
      </w:r>
      <w:r w:rsidR="00415D0B" w:rsidRPr="00565933">
        <w:rPr>
          <w:rFonts w:ascii="Arial" w:hAnsi="Arial" w:cs="Arial"/>
          <w:bCs/>
          <w:sz w:val="24"/>
          <w:szCs w:val="24"/>
        </w:rPr>
        <w:t>egal member of the tribunal that heard the appeal</w:t>
      </w:r>
      <w:r w:rsidR="003823DE" w:rsidRPr="00565933">
        <w:rPr>
          <w:rFonts w:ascii="Arial" w:hAnsi="Arial" w:cs="Arial"/>
          <w:bCs/>
          <w:sz w:val="24"/>
          <w:szCs w:val="24"/>
        </w:rPr>
        <w:t xml:space="preserve">. </w:t>
      </w:r>
      <w:r>
        <w:rPr>
          <w:rFonts w:ascii="Arial" w:hAnsi="Arial" w:cs="Arial"/>
          <w:bCs/>
          <w:sz w:val="24"/>
          <w:szCs w:val="24"/>
        </w:rPr>
        <w:t xml:space="preserve"> </w:t>
      </w:r>
      <w:r w:rsidR="00465E77" w:rsidRPr="00565933">
        <w:rPr>
          <w:rFonts w:ascii="Arial" w:hAnsi="Arial" w:cs="Arial"/>
          <w:bCs/>
          <w:sz w:val="24"/>
          <w:szCs w:val="24"/>
        </w:rPr>
        <w:t>I am looking again at that application.</w:t>
      </w:r>
    </w:p>
    <w:p w14:paraId="20E65C8D" w14:textId="77777777" w:rsidR="00505050" w:rsidRPr="00565933" w:rsidRDefault="00505050"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p>
    <w:p w14:paraId="2C383191" w14:textId="1A9AC0B6" w:rsidR="00824470" w:rsidRPr="00565933" w:rsidRDefault="007561B3"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eastAsia="Calibri" w:hAnsi="Arial" w:cs="Arial"/>
          <w:bCs/>
          <w:sz w:val="24"/>
          <w:szCs w:val="24"/>
        </w:rPr>
        <w:t>4.</w:t>
      </w:r>
      <w:r>
        <w:rPr>
          <w:rFonts w:ascii="Arial" w:eastAsia="Calibri" w:hAnsi="Arial" w:cs="Arial"/>
          <w:bCs/>
          <w:sz w:val="24"/>
          <w:szCs w:val="24"/>
        </w:rPr>
        <w:tab/>
      </w:r>
      <w:r w:rsidR="00824470" w:rsidRPr="00565933">
        <w:rPr>
          <w:rFonts w:ascii="Arial" w:eastAsia="Calibri" w:hAnsi="Arial" w:cs="Arial"/>
          <w:bCs/>
          <w:sz w:val="24"/>
          <w:szCs w:val="24"/>
        </w:rPr>
        <w:t>The appellant is in person, and Mr Clements acts for the</w:t>
      </w:r>
      <w:r w:rsidR="00610DA1" w:rsidRPr="00565933">
        <w:rPr>
          <w:rFonts w:ascii="Arial" w:eastAsia="Calibri" w:hAnsi="Arial" w:cs="Arial"/>
          <w:bCs/>
          <w:sz w:val="24"/>
          <w:szCs w:val="24"/>
        </w:rPr>
        <w:t xml:space="preserve"> D</w:t>
      </w:r>
      <w:r w:rsidR="00824470" w:rsidRPr="00565933">
        <w:rPr>
          <w:rFonts w:ascii="Arial" w:eastAsia="Calibri" w:hAnsi="Arial" w:cs="Arial"/>
          <w:bCs/>
          <w:sz w:val="24"/>
          <w:szCs w:val="24"/>
        </w:rPr>
        <w:t xml:space="preserve">epartment. </w:t>
      </w:r>
      <w:r>
        <w:rPr>
          <w:rFonts w:ascii="Arial" w:eastAsia="Calibri" w:hAnsi="Arial" w:cs="Arial"/>
          <w:bCs/>
          <w:sz w:val="24"/>
          <w:szCs w:val="24"/>
        </w:rPr>
        <w:t xml:space="preserve"> </w:t>
      </w:r>
      <w:r w:rsidR="00824470" w:rsidRPr="00565933">
        <w:rPr>
          <w:rFonts w:ascii="Arial" w:eastAsia="Calibri" w:hAnsi="Arial" w:cs="Arial"/>
          <w:sz w:val="24"/>
          <w:szCs w:val="24"/>
        </w:rPr>
        <w:t xml:space="preserve">An oral hearing is not necessary for justice to be done. </w:t>
      </w:r>
      <w:r>
        <w:rPr>
          <w:rFonts w:ascii="Arial" w:eastAsia="Calibri" w:hAnsi="Arial" w:cs="Arial"/>
          <w:sz w:val="24"/>
          <w:szCs w:val="24"/>
        </w:rPr>
        <w:t xml:space="preserve"> </w:t>
      </w:r>
      <w:r w:rsidR="00824470" w:rsidRPr="00565933">
        <w:rPr>
          <w:rFonts w:ascii="Arial" w:eastAsia="Calibri" w:hAnsi="Arial" w:cs="Arial"/>
          <w:sz w:val="24"/>
          <w:szCs w:val="24"/>
        </w:rPr>
        <w:t>I am able to decide the matter fairly on the papers before me.</w:t>
      </w:r>
    </w:p>
    <w:p w14:paraId="076BDC6D" w14:textId="77777777" w:rsidR="00505050" w:rsidRPr="00565933" w:rsidRDefault="00505050"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p>
    <w:p w14:paraId="1EA01026" w14:textId="2AF8D245" w:rsidR="00465E77" w:rsidRPr="00565933" w:rsidRDefault="007561B3"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hAnsi="Arial" w:cs="Arial"/>
          <w:bCs/>
          <w:sz w:val="24"/>
          <w:szCs w:val="24"/>
        </w:rPr>
        <w:t>5.</w:t>
      </w:r>
      <w:r>
        <w:rPr>
          <w:rFonts w:ascii="Arial" w:hAnsi="Arial" w:cs="Arial"/>
          <w:bCs/>
          <w:sz w:val="24"/>
          <w:szCs w:val="24"/>
        </w:rPr>
        <w:tab/>
      </w:r>
      <w:r w:rsidR="00415D0B" w:rsidRPr="00565933">
        <w:rPr>
          <w:rFonts w:ascii="Arial" w:hAnsi="Arial" w:cs="Arial"/>
          <w:bCs/>
          <w:sz w:val="24"/>
          <w:szCs w:val="24"/>
        </w:rPr>
        <w:t xml:space="preserve">The </w:t>
      </w:r>
      <w:r w:rsidR="00B90028">
        <w:rPr>
          <w:rFonts w:ascii="Arial" w:hAnsi="Arial" w:cs="Arial"/>
          <w:bCs/>
          <w:sz w:val="24"/>
          <w:szCs w:val="24"/>
        </w:rPr>
        <w:t>Secretary of State</w:t>
      </w:r>
      <w:r w:rsidR="00415D0B" w:rsidRPr="00565933">
        <w:rPr>
          <w:rFonts w:ascii="Arial" w:hAnsi="Arial" w:cs="Arial"/>
          <w:bCs/>
          <w:sz w:val="24"/>
          <w:szCs w:val="24"/>
        </w:rPr>
        <w:t xml:space="preserve"> has had the opportunity to make observations</w:t>
      </w:r>
      <w:r w:rsidR="009D7CEA" w:rsidRPr="00565933">
        <w:rPr>
          <w:rFonts w:ascii="Arial" w:hAnsi="Arial" w:cs="Arial"/>
          <w:bCs/>
          <w:sz w:val="24"/>
          <w:szCs w:val="24"/>
        </w:rPr>
        <w:t xml:space="preserve"> through</w:t>
      </w:r>
      <w:r w:rsidR="00465E77" w:rsidRPr="00565933">
        <w:rPr>
          <w:rFonts w:ascii="Arial" w:hAnsi="Arial" w:cs="Arial"/>
          <w:bCs/>
          <w:sz w:val="24"/>
          <w:szCs w:val="24"/>
        </w:rPr>
        <w:t xml:space="preserve"> </w:t>
      </w:r>
      <w:r w:rsidR="009D7CEA" w:rsidRPr="00565933">
        <w:rPr>
          <w:rFonts w:ascii="Arial" w:hAnsi="Arial" w:cs="Arial"/>
          <w:bCs/>
          <w:sz w:val="24"/>
          <w:szCs w:val="24"/>
        </w:rPr>
        <w:t xml:space="preserve">Mr Clements. </w:t>
      </w:r>
      <w:r>
        <w:rPr>
          <w:rFonts w:ascii="Arial" w:hAnsi="Arial" w:cs="Arial"/>
          <w:bCs/>
          <w:sz w:val="24"/>
          <w:szCs w:val="24"/>
        </w:rPr>
        <w:t xml:space="preserve"> </w:t>
      </w:r>
      <w:r w:rsidR="009D7CEA" w:rsidRPr="00565933">
        <w:rPr>
          <w:rFonts w:ascii="Arial" w:hAnsi="Arial" w:cs="Arial"/>
          <w:bCs/>
          <w:sz w:val="24"/>
          <w:szCs w:val="24"/>
        </w:rPr>
        <w:t>In his</w:t>
      </w:r>
      <w:r w:rsidR="00415D0B" w:rsidRPr="00565933">
        <w:rPr>
          <w:rFonts w:ascii="Arial" w:hAnsi="Arial" w:cs="Arial"/>
          <w:bCs/>
          <w:sz w:val="24"/>
          <w:szCs w:val="24"/>
        </w:rPr>
        <w:t xml:space="preserve"> </w:t>
      </w:r>
      <w:r w:rsidR="009D7CEA" w:rsidRPr="00565933">
        <w:rPr>
          <w:rFonts w:ascii="Arial" w:hAnsi="Arial" w:cs="Arial"/>
          <w:bCs/>
          <w:sz w:val="24"/>
          <w:szCs w:val="24"/>
        </w:rPr>
        <w:t>helpful</w:t>
      </w:r>
      <w:r w:rsidR="00415D0B" w:rsidRPr="00565933">
        <w:rPr>
          <w:rFonts w:ascii="Arial" w:hAnsi="Arial" w:cs="Arial"/>
          <w:bCs/>
          <w:sz w:val="24"/>
          <w:szCs w:val="24"/>
        </w:rPr>
        <w:t xml:space="preserve"> submission</w:t>
      </w:r>
      <w:r w:rsidR="009D7CEA" w:rsidRPr="00565933">
        <w:rPr>
          <w:rFonts w:ascii="Arial" w:hAnsi="Arial" w:cs="Arial"/>
          <w:bCs/>
          <w:sz w:val="24"/>
          <w:szCs w:val="24"/>
        </w:rPr>
        <w:t xml:space="preserve"> he supports the appeal, although for different reasons to those put forward by the claimant.</w:t>
      </w:r>
      <w:r>
        <w:rPr>
          <w:rFonts w:ascii="Arial" w:hAnsi="Arial" w:cs="Arial"/>
          <w:bCs/>
          <w:sz w:val="24"/>
          <w:szCs w:val="24"/>
        </w:rPr>
        <w:t xml:space="preserve"> </w:t>
      </w:r>
      <w:r w:rsidR="009D7CEA" w:rsidRPr="00565933">
        <w:rPr>
          <w:rFonts w:ascii="Arial" w:hAnsi="Arial" w:cs="Arial"/>
          <w:bCs/>
          <w:sz w:val="24"/>
          <w:szCs w:val="24"/>
        </w:rPr>
        <w:t xml:space="preserve"> </w:t>
      </w:r>
      <w:r w:rsidR="00465E77" w:rsidRPr="00565933">
        <w:rPr>
          <w:rFonts w:ascii="Arial" w:hAnsi="Arial" w:cs="Arial"/>
          <w:bCs/>
          <w:sz w:val="24"/>
          <w:szCs w:val="24"/>
        </w:rPr>
        <w:t xml:space="preserve">He is content that I decide the appeal without further reference to the </w:t>
      </w:r>
      <w:r w:rsidR="0007503B" w:rsidRPr="00565933">
        <w:rPr>
          <w:rFonts w:ascii="Arial" w:hAnsi="Arial" w:cs="Arial"/>
          <w:bCs/>
          <w:sz w:val="24"/>
          <w:szCs w:val="24"/>
        </w:rPr>
        <w:t>department if</w:t>
      </w:r>
      <w:r w:rsidR="00465E77" w:rsidRPr="00565933">
        <w:rPr>
          <w:rFonts w:ascii="Arial" w:hAnsi="Arial" w:cs="Arial"/>
          <w:bCs/>
          <w:sz w:val="24"/>
          <w:szCs w:val="24"/>
        </w:rPr>
        <w:t xml:space="preserve"> I decide to grant leave.</w:t>
      </w:r>
    </w:p>
    <w:p w14:paraId="5DB46412" w14:textId="77777777" w:rsidR="00505050" w:rsidRPr="00565933" w:rsidRDefault="00505050"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p>
    <w:p w14:paraId="27A93D0F" w14:textId="65D96507" w:rsidR="009D7CEA" w:rsidRPr="00565933" w:rsidRDefault="007561B3" w:rsidP="007561B3">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hAnsi="Arial" w:cs="Arial"/>
          <w:bCs/>
          <w:sz w:val="24"/>
          <w:szCs w:val="24"/>
        </w:rPr>
        <w:t>6.</w:t>
      </w:r>
      <w:r>
        <w:rPr>
          <w:rFonts w:ascii="Arial" w:hAnsi="Arial" w:cs="Arial"/>
          <w:bCs/>
          <w:sz w:val="24"/>
          <w:szCs w:val="24"/>
        </w:rPr>
        <w:tab/>
      </w:r>
      <w:r w:rsidR="009D7CEA" w:rsidRPr="00565933">
        <w:rPr>
          <w:rFonts w:ascii="Arial" w:hAnsi="Arial" w:cs="Arial"/>
          <w:bCs/>
          <w:sz w:val="24"/>
          <w:szCs w:val="24"/>
        </w:rPr>
        <w:t>In all the circumstances I am able to deal now with both the application for leave and the substantive appeal.</w:t>
      </w:r>
    </w:p>
    <w:p w14:paraId="27DCB5D2" w14:textId="77777777" w:rsidR="00465E77" w:rsidRPr="00565933" w:rsidRDefault="00465E77" w:rsidP="009A52CF">
      <w:pPr>
        <w:tabs>
          <w:tab w:val="left" w:pos="510"/>
          <w:tab w:val="left" w:pos="1077"/>
          <w:tab w:val="left" w:pos="1797"/>
        </w:tabs>
        <w:spacing w:after="0" w:line="240" w:lineRule="auto"/>
        <w:contextualSpacing/>
        <w:rPr>
          <w:rFonts w:ascii="Arial" w:eastAsia="Calibri" w:hAnsi="Arial" w:cs="Arial"/>
          <w:sz w:val="24"/>
          <w:szCs w:val="24"/>
        </w:rPr>
      </w:pPr>
    </w:p>
    <w:p w14:paraId="1358C5C7" w14:textId="4652CADA" w:rsidR="00861EBF" w:rsidRDefault="00835C4F" w:rsidP="009A52CF">
      <w:pPr>
        <w:tabs>
          <w:tab w:val="left" w:pos="510"/>
          <w:tab w:val="left" w:pos="1077"/>
          <w:tab w:val="left" w:pos="1797"/>
        </w:tabs>
        <w:spacing w:after="0" w:line="240" w:lineRule="auto"/>
        <w:contextualSpacing/>
        <w:rPr>
          <w:rFonts w:ascii="Arial" w:hAnsi="Arial" w:cs="Arial"/>
          <w:b/>
          <w:sz w:val="24"/>
          <w:szCs w:val="24"/>
        </w:rPr>
      </w:pPr>
      <w:r>
        <w:rPr>
          <w:rFonts w:ascii="Arial" w:hAnsi="Arial" w:cs="Arial"/>
          <w:b/>
          <w:sz w:val="24"/>
          <w:szCs w:val="24"/>
        </w:rPr>
        <w:tab/>
      </w:r>
      <w:r w:rsidR="00824470" w:rsidRPr="00565933">
        <w:rPr>
          <w:rFonts w:ascii="Arial" w:hAnsi="Arial" w:cs="Arial"/>
          <w:b/>
          <w:sz w:val="24"/>
          <w:szCs w:val="24"/>
        </w:rPr>
        <w:t>B</w:t>
      </w:r>
      <w:r w:rsidR="00861EBF" w:rsidRPr="00565933">
        <w:rPr>
          <w:rFonts w:ascii="Arial" w:hAnsi="Arial" w:cs="Arial"/>
          <w:b/>
          <w:sz w:val="24"/>
          <w:szCs w:val="24"/>
        </w:rPr>
        <w:t>ackground</w:t>
      </w:r>
    </w:p>
    <w:p w14:paraId="1BE1F3CD" w14:textId="77777777" w:rsidR="00835C4F" w:rsidRPr="00835C4F" w:rsidRDefault="00835C4F" w:rsidP="009A52CF">
      <w:pPr>
        <w:tabs>
          <w:tab w:val="left" w:pos="510"/>
          <w:tab w:val="left" w:pos="1077"/>
          <w:tab w:val="left" w:pos="1797"/>
        </w:tabs>
        <w:spacing w:after="0" w:line="240" w:lineRule="auto"/>
        <w:contextualSpacing/>
        <w:rPr>
          <w:rFonts w:ascii="Arial" w:hAnsi="Arial" w:cs="Arial"/>
          <w:bCs/>
          <w:sz w:val="24"/>
          <w:szCs w:val="24"/>
        </w:rPr>
      </w:pPr>
    </w:p>
    <w:p w14:paraId="56C3A607" w14:textId="77293062" w:rsidR="00465E77" w:rsidRPr="00565933" w:rsidRDefault="00835C4F" w:rsidP="00835C4F">
      <w:pPr>
        <w:pStyle w:val="ListParagraph"/>
        <w:tabs>
          <w:tab w:val="left" w:pos="510"/>
          <w:tab w:val="left" w:pos="1077"/>
          <w:tab w:val="left" w:pos="1797"/>
        </w:tabs>
        <w:spacing w:after="0" w:line="240" w:lineRule="auto"/>
        <w:ind w:left="510" w:hanging="510"/>
        <w:jc w:val="both"/>
        <w:rPr>
          <w:rFonts w:ascii="Arial" w:eastAsia="Calibri" w:hAnsi="Arial" w:cs="Arial"/>
          <w:sz w:val="24"/>
          <w:szCs w:val="24"/>
        </w:rPr>
      </w:pPr>
      <w:r>
        <w:rPr>
          <w:rFonts w:ascii="Arial" w:eastAsia="Calibri" w:hAnsi="Arial" w:cs="Arial"/>
          <w:sz w:val="24"/>
          <w:szCs w:val="24"/>
        </w:rPr>
        <w:t>7.</w:t>
      </w:r>
      <w:r>
        <w:rPr>
          <w:rFonts w:ascii="Arial" w:eastAsia="Calibri" w:hAnsi="Arial" w:cs="Arial"/>
          <w:sz w:val="24"/>
          <w:szCs w:val="24"/>
        </w:rPr>
        <w:tab/>
      </w:r>
      <w:r w:rsidR="00861EBF" w:rsidRPr="00565933">
        <w:rPr>
          <w:rFonts w:ascii="Arial" w:eastAsia="Calibri" w:hAnsi="Arial" w:cs="Arial"/>
          <w:sz w:val="24"/>
          <w:szCs w:val="24"/>
        </w:rPr>
        <w:t>Th</w:t>
      </w:r>
      <w:r w:rsidR="009D7CEA" w:rsidRPr="00565933">
        <w:rPr>
          <w:rFonts w:ascii="Arial" w:eastAsia="Calibri" w:hAnsi="Arial" w:cs="Arial"/>
          <w:sz w:val="24"/>
          <w:szCs w:val="24"/>
        </w:rPr>
        <w:t>e</w:t>
      </w:r>
      <w:r w:rsidR="00861EBF" w:rsidRPr="00565933">
        <w:rPr>
          <w:rFonts w:ascii="Arial" w:eastAsia="Calibri" w:hAnsi="Arial" w:cs="Arial"/>
          <w:sz w:val="24"/>
          <w:szCs w:val="24"/>
        </w:rPr>
        <w:t xml:space="preserve"> matter arises following an appeal by the claimant about her entitlement to a (PIP)</w:t>
      </w:r>
      <w:r w:rsidR="003823DE" w:rsidRPr="00565933">
        <w:rPr>
          <w:rFonts w:ascii="Arial" w:eastAsia="Calibri" w:hAnsi="Arial" w:cs="Arial"/>
          <w:sz w:val="24"/>
          <w:szCs w:val="24"/>
        </w:rPr>
        <w:t xml:space="preserve">. </w:t>
      </w:r>
      <w:r>
        <w:rPr>
          <w:rFonts w:ascii="Arial" w:eastAsia="Calibri" w:hAnsi="Arial" w:cs="Arial"/>
          <w:sz w:val="24"/>
          <w:szCs w:val="24"/>
        </w:rPr>
        <w:t xml:space="preserve"> </w:t>
      </w:r>
      <w:r w:rsidR="00861EBF" w:rsidRPr="00565933">
        <w:rPr>
          <w:rFonts w:ascii="Arial" w:eastAsia="Calibri" w:hAnsi="Arial" w:cs="Arial"/>
          <w:sz w:val="24"/>
          <w:szCs w:val="24"/>
        </w:rPr>
        <w:t>She made a claim on</w:t>
      </w:r>
      <w:r w:rsidR="009773AA" w:rsidRPr="00565933">
        <w:rPr>
          <w:rFonts w:ascii="Arial" w:eastAsia="Calibri" w:hAnsi="Arial" w:cs="Arial"/>
          <w:sz w:val="24"/>
          <w:szCs w:val="24"/>
        </w:rPr>
        <w:t xml:space="preserve"> 6 May 2022</w:t>
      </w:r>
      <w:r w:rsidR="009D7CEA" w:rsidRPr="00565933">
        <w:rPr>
          <w:rFonts w:ascii="Arial" w:eastAsia="Calibri" w:hAnsi="Arial" w:cs="Arial"/>
          <w:sz w:val="24"/>
          <w:szCs w:val="24"/>
        </w:rPr>
        <w:t>, and</w:t>
      </w:r>
      <w:r w:rsidR="00861EBF" w:rsidRPr="00565933">
        <w:rPr>
          <w:rFonts w:ascii="Arial" w:eastAsia="Calibri" w:hAnsi="Arial" w:cs="Arial"/>
          <w:sz w:val="24"/>
          <w:szCs w:val="24"/>
        </w:rPr>
        <w:t xml:space="preserve"> underwent an assessment ove</w:t>
      </w:r>
      <w:r w:rsidR="009773AA" w:rsidRPr="00565933">
        <w:rPr>
          <w:rFonts w:ascii="Arial" w:eastAsia="Calibri" w:hAnsi="Arial" w:cs="Arial"/>
          <w:sz w:val="24"/>
          <w:szCs w:val="24"/>
        </w:rPr>
        <w:t xml:space="preserve">r the telephone </w:t>
      </w:r>
      <w:r w:rsidR="00861EBF" w:rsidRPr="00565933">
        <w:rPr>
          <w:rFonts w:ascii="Arial" w:eastAsia="Calibri" w:hAnsi="Arial" w:cs="Arial"/>
          <w:sz w:val="24"/>
          <w:szCs w:val="24"/>
        </w:rPr>
        <w:t>on 2</w:t>
      </w:r>
      <w:r w:rsidR="009773AA" w:rsidRPr="00565933">
        <w:rPr>
          <w:rFonts w:ascii="Arial" w:eastAsia="Calibri" w:hAnsi="Arial" w:cs="Arial"/>
          <w:sz w:val="24"/>
          <w:szCs w:val="24"/>
        </w:rPr>
        <w:t>5</w:t>
      </w:r>
      <w:r w:rsidR="00861EBF" w:rsidRPr="00565933">
        <w:rPr>
          <w:rFonts w:ascii="Arial" w:eastAsia="Calibri" w:hAnsi="Arial" w:cs="Arial"/>
          <w:sz w:val="24"/>
          <w:szCs w:val="24"/>
        </w:rPr>
        <w:t xml:space="preserve"> July 2022</w:t>
      </w:r>
      <w:r w:rsidR="003823DE" w:rsidRPr="00565933">
        <w:rPr>
          <w:rFonts w:ascii="Arial" w:eastAsia="Calibri" w:hAnsi="Arial" w:cs="Arial"/>
          <w:sz w:val="24"/>
          <w:szCs w:val="24"/>
        </w:rPr>
        <w:t xml:space="preserve">. </w:t>
      </w:r>
      <w:r>
        <w:rPr>
          <w:rFonts w:ascii="Arial" w:eastAsia="Calibri" w:hAnsi="Arial" w:cs="Arial"/>
          <w:sz w:val="24"/>
          <w:szCs w:val="24"/>
        </w:rPr>
        <w:t xml:space="preserve"> </w:t>
      </w:r>
      <w:r w:rsidR="00861EBF" w:rsidRPr="00565933">
        <w:rPr>
          <w:rFonts w:ascii="Arial" w:eastAsia="Calibri" w:hAnsi="Arial" w:cs="Arial"/>
          <w:sz w:val="24"/>
          <w:szCs w:val="24"/>
        </w:rPr>
        <w:t xml:space="preserve">The healthcare professional </w:t>
      </w:r>
      <w:r w:rsidR="00415D0B" w:rsidRPr="00565933">
        <w:rPr>
          <w:rFonts w:ascii="Arial" w:eastAsia="Calibri" w:hAnsi="Arial" w:cs="Arial"/>
          <w:sz w:val="24"/>
          <w:szCs w:val="24"/>
        </w:rPr>
        <w:t xml:space="preserve">who spoke to her </w:t>
      </w:r>
      <w:r w:rsidR="00861EBF" w:rsidRPr="00565933">
        <w:rPr>
          <w:rFonts w:ascii="Arial" w:eastAsia="Calibri" w:hAnsi="Arial" w:cs="Arial"/>
          <w:sz w:val="24"/>
          <w:szCs w:val="24"/>
        </w:rPr>
        <w:t xml:space="preserve">was of the view that </w:t>
      </w:r>
      <w:r w:rsidR="00243843" w:rsidRPr="00565933">
        <w:rPr>
          <w:rFonts w:ascii="Arial" w:eastAsia="Calibri" w:hAnsi="Arial" w:cs="Arial"/>
          <w:sz w:val="24"/>
          <w:szCs w:val="24"/>
        </w:rPr>
        <w:t>s</w:t>
      </w:r>
      <w:r w:rsidR="00861EBF" w:rsidRPr="00565933">
        <w:rPr>
          <w:rFonts w:ascii="Arial" w:eastAsia="Calibri" w:hAnsi="Arial" w:cs="Arial"/>
          <w:sz w:val="24"/>
          <w:szCs w:val="24"/>
        </w:rPr>
        <w:t xml:space="preserve">he had </w:t>
      </w:r>
      <w:r w:rsidR="00243843" w:rsidRPr="00565933">
        <w:rPr>
          <w:rFonts w:ascii="Arial" w:eastAsia="Calibri" w:hAnsi="Arial" w:cs="Arial"/>
          <w:sz w:val="24"/>
          <w:szCs w:val="24"/>
        </w:rPr>
        <w:t>restrictions in both the activities of daily living and in her mobility</w:t>
      </w:r>
      <w:r w:rsidR="003823DE" w:rsidRPr="00565933">
        <w:rPr>
          <w:rFonts w:ascii="Arial" w:eastAsia="Calibri" w:hAnsi="Arial" w:cs="Arial"/>
          <w:sz w:val="24"/>
          <w:szCs w:val="24"/>
        </w:rPr>
        <w:t xml:space="preserve">. </w:t>
      </w:r>
      <w:r>
        <w:rPr>
          <w:rFonts w:ascii="Arial" w:eastAsia="Calibri" w:hAnsi="Arial" w:cs="Arial"/>
          <w:sz w:val="24"/>
          <w:szCs w:val="24"/>
        </w:rPr>
        <w:t xml:space="preserve"> </w:t>
      </w:r>
      <w:r w:rsidR="00243843" w:rsidRPr="00565933">
        <w:rPr>
          <w:rFonts w:ascii="Arial" w:eastAsia="Calibri" w:hAnsi="Arial" w:cs="Arial"/>
          <w:sz w:val="24"/>
          <w:szCs w:val="24"/>
        </w:rPr>
        <w:t xml:space="preserve">The disability assessor recommended </w:t>
      </w:r>
      <w:r w:rsidR="004E3697" w:rsidRPr="00565933">
        <w:rPr>
          <w:rFonts w:ascii="Arial" w:eastAsia="Calibri" w:hAnsi="Arial" w:cs="Arial"/>
          <w:sz w:val="24"/>
          <w:szCs w:val="24"/>
        </w:rPr>
        <w:t xml:space="preserve">six </w:t>
      </w:r>
      <w:r w:rsidR="00243843" w:rsidRPr="00565933">
        <w:rPr>
          <w:rFonts w:ascii="Arial" w:eastAsia="Calibri" w:hAnsi="Arial" w:cs="Arial"/>
          <w:sz w:val="24"/>
          <w:szCs w:val="24"/>
        </w:rPr>
        <w:t xml:space="preserve">points for the problems in daily living activities: her need for aids for preparing food, </w:t>
      </w:r>
      <w:r w:rsidR="003823DE" w:rsidRPr="00565933">
        <w:rPr>
          <w:rFonts w:ascii="Arial" w:eastAsia="Calibri" w:hAnsi="Arial" w:cs="Arial"/>
          <w:sz w:val="24"/>
          <w:szCs w:val="24"/>
        </w:rPr>
        <w:t>washing,</w:t>
      </w:r>
      <w:r w:rsidR="00243843" w:rsidRPr="00565933">
        <w:rPr>
          <w:rFonts w:ascii="Arial" w:eastAsia="Calibri" w:hAnsi="Arial" w:cs="Arial"/>
          <w:sz w:val="24"/>
          <w:szCs w:val="24"/>
        </w:rPr>
        <w:t xml:space="preserve"> and bathing and managing toilet needs scored two points in relation to each, and her ability to walk more than </w:t>
      </w:r>
      <w:r w:rsidR="00790392" w:rsidRPr="00565933">
        <w:rPr>
          <w:rFonts w:ascii="Arial" w:eastAsia="Calibri" w:hAnsi="Arial" w:cs="Arial"/>
          <w:sz w:val="24"/>
          <w:szCs w:val="24"/>
        </w:rPr>
        <w:t>20</w:t>
      </w:r>
      <w:r w:rsidR="00243843" w:rsidRPr="00565933">
        <w:rPr>
          <w:rFonts w:ascii="Arial" w:eastAsia="Calibri" w:hAnsi="Arial" w:cs="Arial"/>
          <w:sz w:val="24"/>
          <w:szCs w:val="24"/>
        </w:rPr>
        <w:t xml:space="preserve"> but not more than 50 metres scored ten points under the mobility descriptors.</w:t>
      </w:r>
    </w:p>
    <w:p w14:paraId="2223A403" w14:textId="77777777" w:rsidR="00790392" w:rsidRPr="00565933" w:rsidRDefault="00790392" w:rsidP="00835C4F">
      <w:pPr>
        <w:pStyle w:val="ListParagraph"/>
        <w:tabs>
          <w:tab w:val="left" w:pos="510"/>
          <w:tab w:val="left" w:pos="1077"/>
          <w:tab w:val="left" w:pos="1797"/>
        </w:tabs>
        <w:spacing w:after="0" w:line="240" w:lineRule="auto"/>
        <w:ind w:left="510" w:hanging="510"/>
        <w:jc w:val="both"/>
        <w:rPr>
          <w:rFonts w:ascii="Arial" w:eastAsia="Calibri" w:hAnsi="Arial" w:cs="Arial"/>
          <w:sz w:val="24"/>
          <w:szCs w:val="24"/>
        </w:rPr>
      </w:pPr>
    </w:p>
    <w:p w14:paraId="4D4EA6C8" w14:textId="51B4B035" w:rsidR="00465E77" w:rsidRPr="00565933" w:rsidRDefault="00835C4F" w:rsidP="00835C4F">
      <w:pPr>
        <w:pStyle w:val="ListParagraph"/>
        <w:tabs>
          <w:tab w:val="left" w:pos="510"/>
          <w:tab w:val="left" w:pos="1077"/>
          <w:tab w:val="left" w:pos="1797"/>
        </w:tabs>
        <w:spacing w:after="0" w:line="240" w:lineRule="auto"/>
        <w:ind w:left="510" w:hanging="510"/>
        <w:jc w:val="both"/>
        <w:rPr>
          <w:rFonts w:ascii="Arial" w:eastAsia="Calibri" w:hAnsi="Arial" w:cs="Arial"/>
          <w:sz w:val="24"/>
          <w:szCs w:val="24"/>
        </w:rPr>
      </w:pPr>
      <w:r>
        <w:rPr>
          <w:rFonts w:ascii="Arial" w:eastAsia="Calibri" w:hAnsi="Arial" w:cs="Arial"/>
          <w:sz w:val="24"/>
          <w:szCs w:val="24"/>
        </w:rPr>
        <w:t>8.</w:t>
      </w:r>
      <w:r>
        <w:rPr>
          <w:rFonts w:ascii="Arial" w:eastAsia="Calibri" w:hAnsi="Arial" w:cs="Arial"/>
          <w:sz w:val="24"/>
          <w:szCs w:val="24"/>
        </w:rPr>
        <w:tab/>
      </w:r>
      <w:r w:rsidR="00861EBF" w:rsidRPr="00565933">
        <w:rPr>
          <w:rFonts w:ascii="Arial" w:eastAsia="Calibri" w:hAnsi="Arial" w:cs="Arial"/>
          <w:sz w:val="24"/>
          <w:szCs w:val="24"/>
        </w:rPr>
        <w:t>On</w:t>
      </w:r>
      <w:r w:rsidR="00243843" w:rsidRPr="00565933">
        <w:rPr>
          <w:rFonts w:ascii="Arial" w:eastAsia="Calibri" w:hAnsi="Arial" w:cs="Arial"/>
          <w:sz w:val="24"/>
          <w:szCs w:val="24"/>
        </w:rPr>
        <w:t xml:space="preserve"> </w:t>
      </w:r>
      <w:r w:rsidR="003823DE" w:rsidRPr="00565933">
        <w:rPr>
          <w:rFonts w:ascii="Arial" w:eastAsia="Calibri" w:hAnsi="Arial" w:cs="Arial"/>
          <w:sz w:val="24"/>
          <w:szCs w:val="24"/>
        </w:rPr>
        <w:t>12 August 2022,</w:t>
      </w:r>
      <w:r w:rsidR="00861EBF" w:rsidRPr="00565933">
        <w:rPr>
          <w:rFonts w:ascii="Arial" w:eastAsia="Calibri" w:hAnsi="Arial" w:cs="Arial"/>
          <w:sz w:val="24"/>
          <w:szCs w:val="24"/>
        </w:rPr>
        <w:t xml:space="preserve"> the decision maker accepted that recommendation</w:t>
      </w:r>
      <w:r w:rsidR="003823DE" w:rsidRPr="00565933">
        <w:rPr>
          <w:rFonts w:ascii="Arial" w:eastAsia="Calibri" w:hAnsi="Arial" w:cs="Arial"/>
          <w:sz w:val="24"/>
          <w:szCs w:val="24"/>
        </w:rPr>
        <w:t xml:space="preserve">. </w:t>
      </w:r>
      <w:r>
        <w:rPr>
          <w:rFonts w:ascii="Arial" w:eastAsia="Calibri" w:hAnsi="Arial" w:cs="Arial"/>
          <w:sz w:val="24"/>
          <w:szCs w:val="24"/>
        </w:rPr>
        <w:t xml:space="preserve"> </w:t>
      </w:r>
      <w:r w:rsidR="00B525C4" w:rsidRPr="00565933">
        <w:rPr>
          <w:rFonts w:ascii="Arial" w:eastAsia="Calibri" w:hAnsi="Arial" w:cs="Arial"/>
          <w:sz w:val="24"/>
          <w:szCs w:val="24"/>
        </w:rPr>
        <w:t xml:space="preserve">They made </w:t>
      </w:r>
      <w:r w:rsidR="00243843" w:rsidRPr="00565933">
        <w:rPr>
          <w:rFonts w:ascii="Arial" w:eastAsia="Calibri" w:hAnsi="Arial" w:cs="Arial"/>
          <w:sz w:val="24"/>
          <w:szCs w:val="24"/>
        </w:rPr>
        <w:t xml:space="preserve">no award for the daily living component, her score being less than eight points, </w:t>
      </w:r>
      <w:r w:rsidR="00B525C4" w:rsidRPr="00565933">
        <w:rPr>
          <w:rFonts w:ascii="Arial" w:eastAsia="Calibri" w:hAnsi="Arial" w:cs="Arial"/>
          <w:sz w:val="24"/>
          <w:szCs w:val="24"/>
        </w:rPr>
        <w:t xml:space="preserve">but </w:t>
      </w:r>
      <w:r w:rsidR="00243843" w:rsidRPr="00565933">
        <w:rPr>
          <w:rFonts w:ascii="Arial" w:eastAsia="Calibri" w:hAnsi="Arial" w:cs="Arial"/>
          <w:sz w:val="24"/>
          <w:szCs w:val="24"/>
        </w:rPr>
        <w:t>her score of ten points for mobility problems led to an award of that component at the standard rate.</w:t>
      </w:r>
    </w:p>
    <w:p w14:paraId="1F5B08BC" w14:textId="77777777" w:rsidR="00505050" w:rsidRPr="00565933" w:rsidRDefault="00505050" w:rsidP="00835C4F">
      <w:pPr>
        <w:pStyle w:val="ListParagraph"/>
        <w:tabs>
          <w:tab w:val="left" w:pos="510"/>
          <w:tab w:val="left" w:pos="1077"/>
          <w:tab w:val="left" w:pos="1797"/>
        </w:tabs>
        <w:spacing w:after="0" w:line="240" w:lineRule="auto"/>
        <w:ind w:left="510" w:hanging="510"/>
        <w:jc w:val="both"/>
        <w:rPr>
          <w:rFonts w:ascii="Arial" w:eastAsia="Calibri" w:hAnsi="Arial" w:cs="Arial"/>
          <w:sz w:val="24"/>
          <w:szCs w:val="24"/>
        </w:rPr>
      </w:pPr>
    </w:p>
    <w:p w14:paraId="01C09555" w14:textId="61887087" w:rsidR="00465E77" w:rsidRPr="00565933" w:rsidRDefault="00835C4F" w:rsidP="00835C4F">
      <w:pPr>
        <w:pStyle w:val="ListParagraph"/>
        <w:tabs>
          <w:tab w:val="left" w:pos="510"/>
          <w:tab w:val="left" w:pos="1077"/>
          <w:tab w:val="left" w:pos="1797"/>
        </w:tabs>
        <w:spacing w:after="0" w:line="240" w:lineRule="auto"/>
        <w:ind w:left="510" w:hanging="510"/>
        <w:jc w:val="both"/>
        <w:rPr>
          <w:rFonts w:ascii="Arial" w:eastAsia="Calibri" w:hAnsi="Arial" w:cs="Arial"/>
          <w:sz w:val="24"/>
          <w:szCs w:val="24"/>
        </w:rPr>
      </w:pPr>
      <w:r>
        <w:rPr>
          <w:rFonts w:ascii="Arial" w:eastAsia="Calibri" w:hAnsi="Arial" w:cs="Arial"/>
          <w:sz w:val="24"/>
          <w:szCs w:val="24"/>
        </w:rPr>
        <w:lastRenderedPageBreak/>
        <w:t>9.</w:t>
      </w:r>
      <w:r>
        <w:rPr>
          <w:rFonts w:ascii="Arial" w:eastAsia="Calibri" w:hAnsi="Arial" w:cs="Arial"/>
          <w:sz w:val="24"/>
          <w:szCs w:val="24"/>
        </w:rPr>
        <w:tab/>
      </w:r>
      <w:r w:rsidR="00861EBF" w:rsidRPr="00565933">
        <w:rPr>
          <w:rFonts w:ascii="Arial" w:eastAsia="Calibri" w:hAnsi="Arial" w:cs="Arial"/>
          <w:sz w:val="24"/>
          <w:szCs w:val="24"/>
        </w:rPr>
        <w:t>Following the mandatory reconsideration procedure which did</w:t>
      </w:r>
      <w:r w:rsidR="00790392" w:rsidRPr="00565933">
        <w:rPr>
          <w:rFonts w:ascii="Arial" w:eastAsia="Calibri" w:hAnsi="Arial" w:cs="Arial"/>
          <w:sz w:val="24"/>
          <w:szCs w:val="24"/>
        </w:rPr>
        <w:t xml:space="preserve"> </w:t>
      </w:r>
      <w:r w:rsidR="00861EBF" w:rsidRPr="00565933">
        <w:rPr>
          <w:rFonts w:ascii="Arial" w:eastAsia="Calibri" w:hAnsi="Arial" w:cs="Arial"/>
          <w:sz w:val="24"/>
          <w:szCs w:val="24"/>
        </w:rPr>
        <w:t>n</w:t>
      </w:r>
      <w:r w:rsidR="00790392" w:rsidRPr="00565933">
        <w:rPr>
          <w:rFonts w:ascii="Arial" w:eastAsia="Calibri" w:hAnsi="Arial" w:cs="Arial"/>
          <w:sz w:val="24"/>
          <w:szCs w:val="24"/>
        </w:rPr>
        <w:t>o</w:t>
      </w:r>
      <w:r w:rsidR="00861EBF" w:rsidRPr="00565933">
        <w:rPr>
          <w:rFonts w:ascii="Arial" w:eastAsia="Calibri" w:hAnsi="Arial" w:cs="Arial"/>
          <w:sz w:val="24"/>
          <w:szCs w:val="24"/>
        </w:rPr>
        <w:t>t change th</w:t>
      </w:r>
      <w:r w:rsidR="00465E77" w:rsidRPr="00565933">
        <w:rPr>
          <w:rFonts w:ascii="Arial" w:eastAsia="Calibri" w:hAnsi="Arial" w:cs="Arial"/>
          <w:sz w:val="24"/>
          <w:szCs w:val="24"/>
        </w:rPr>
        <w:t xml:space="preserve">at </w:t>
      </w:r>
      <w:r w:rsidR="00861EBF" w:rsidRPr="00565933">
        <w:rPr>
          <w:rFonts w:ascii="Arial" w:eastAsia="Calibri" w:hAnsi="Arial" w:cs="Arial"/>
          <w:sz w:val="24"/>
          <w:szCs w:val="24"/>
        </w:rPr>
        <w:t xml:space="preserve">decision, the claimant appealed; the appeal was heard on </w:t>
      </w:r>
      <w:r w:rsidR="002C4CE3" w:rsidRPr="00565933">
        <w:rPr>
          <w:rFonts w:ascii="Arial" w:eastAsia="Calibri" w:hAnsi="Arial" w:cs="Arial"/>
          <w:sz w:val="24"/>
          <w:szCs w:val="24"/>
        </w:rPr>
        <w:t>15 June 2023</w:t>
      </w:r>
      <w:r w:rsidR="00861EBF" w:rsidRPr="00565933">
        <w:rPr>
          <w:rFonts w:ascii="Arial" w:eastAsia="Calibri" w:hAnsi="Arial" w:cs="Arial"/>
          <w:sz w:val="24"/>
          <w:szCs w:val="24"/>
        </w:rPr>
        <w:t>.</w:t>
      </w:r>
    </w:p>
    <w:p w14:paraId="574AB3E9" w14:textId="77777777" w:rsidR="00505050" w:rsidRPr="00565933" w:rsidRDefault="00505050" w:rsidP="00835C4F">
      <w:pPr>
        <w:pStyle w:val="ListParagraph"/>
        <w:tabs>
          <w:tab w:val="left" w:pos="510"/>
          <w:tab w:val="left" w:pos="1077"/>
          <w:tab w:val="left" w:pos="1797"/>
        </w:tabs>
        <w:spacing w:after="0" w:line="240" w:lineRule="auto"/>
        <w:ind w:left="510" w:hanging="510"/>
        <w:jc w:val="both"/>
        <w:rPr>
          <w:rFonts w:ascii="Arial" w:eastAsia="Calibri" w:hAnsi="Arial" w:cs="Arial"/>
          <w:sz w:val="24"/>
          <w:szCs w:val="24"/>
        </w:rPr>
      </w:pPr>
    </w:p>
    <w:p w14:paraId="5F8DADC3" w14:textId="29CEA27A" w:rsidR="00824470" w:rsidRPr="00565933" w:rsidRDefault="00835C4F" w:rsidP="00835C4F">
      <w:pPr>
        <w:pStyle w:val="ListParagraph"/>
        <w:tabs>
          <w:tab w:val="left" w:pos="510"/>
          <w:tab w:val="left" w:pos="1077"/>
          <w:tab w:val="left" w:pos="1797"/>
        </w:tabs>
        <w:spacing w:after="0" w:line="240" w:lineRule="auto"/>
        <w:ind w:left="510" w:hanging="510"/>
        <w:jc w:val="both"/>
        <w:rPr>
          <w:rFonts w:ascii="Arial" w:eastAsia="Calibri" w:hAnsi="Arial" w:cs="Arial"/>
          <w:sz w:val="24"/>
          <w:szCs w:val="24"/>
        </w:rPr>
      </w:pPr>
      <w:r>
        <w:rPr>
          <w:rFonts w:ascii="Arial" w:eastAsia="Calibri" w:hAnsi="Arial" w:cs="Arial"/>
          <w:sz w:val="24"/>
          <w:szCs w:val="24"/>
        </w:rPr>
        <w:t>10.</w:t>
      </w:r>
      <w:r>
        <w:rPr>
          <w:rFonts w:ascii="Arial" w:eastAsia="Calibri" w:hAnsi="Arial" w:cs="Arial"/>
          <w:sz w:val="24"/>
          <w:szCs w:val="24"/>
        </w:rPr>
        <w:tab/>
      </w:r>
      <w:r w:rsidR="00B525C4" w:rsidRPr="00565933">
        <w:rPr>
          <w:rFonts w:ascii="Arial" w:eastAsia="Calibri" w:hAnsi="Arial" w:cs="Arial"/>
          <w:sz w:val="24"/>
          <w:szCs w:val="24"/>
        </w:rPr>
        <w:t>The tribunal added one point for difficulties in managing therapy</w:t>
      </w:r>
      <w:r w:rsidR="004E3697" w:rsidRPr="00565933">
        <w:rPr>
          <w:rFonts w:ascii="Arial" w:eastAsia="Calibri" w:hAnsi="Arial" w:cs="Arial"/>
          <w:sz w:val="24"/>
          <w:szCs w:val="24"/>
        </w:rPr>
        <w:t xml:space="preserve">: six points became seven points, </w:t>
      </w:r>
      <w:r w:rsidR="00B525C4" w:rsidRPr="00565933">
        <w:rPr>
          <w:rFonts w:ascii="Arial" w:eastAsia="Calibri" w:hAnsi="Arial" w:cs="Arial"/>
          <w:sz w:val="24"/>
          <w:szCs w:val="24"/>
        </w:rPr>
        <w:t>but</w:t>
      </w:r>
      <w:r w:rsidR="00465E77" w:rsidRPr="00565933">
        <w:rPr>
          <w:rFonts w:ascii="Arial" w:eastAsia="Calibri" w:hAnsi="Arial" w:cs="Arial"/>
          <w:sz w:val="24"/>
          <w:szCs w:val="24"/>
        </w:rPr>
        <w:t xml:space="preserve"> still</w:t>
      </w:r>
      <w:r w:rsidR="00B525C4" w:rsidRPr="00565933">
        <w:rPr>
          <w:rFonts w:ascii="Arial" w:eastAsia="Calibri" w:hAnsi="Arial" w:cs="Arial"/>
          <w:sz w:val="24"/>
          <w:szCs w:val="24"/>
        </w:rPr>
        <w:t xml:space="preserve"> the </w:t>
      </w:r>
      <w:r w:rsidR="004E3697" w:rsidRPr="00565933">
        <w:rPr>
          <w:rFonts w:ascii="Arial" w:eastAsia="Calibri" w:hAnsi="Arial" w:cs="Arial"/>
          <w:sz w:val="24"/>
          <w:szCs w:val="24"/>
        </w:rPr>
        <w:t xml:space="preserve">requirement </w:t>
      </w:r>
      <w:r w:rsidR="00B525C4" w:rsidRPr="00565933">
        <w:rPr>
          <w:rFonts w:ascii="Arial" w:eastAsia="Calibri" w:hAnsi="Arial" w:cs="Arial"/>
          <w:sz w:val="24"/>
          <w:szCs w:val="24"/>
        </w:rPr>
        <w:t xml:space="preserve">of eight points </w:t>
      </w:r>
      <w:r w:rsidR="00465E77" w:rsidRPr="00565933">
        <w:rPr>
          <w:rFonts w:ascii="Arial" w:eastAsia="Calibri" w:hAnsi="Arial" w:cs="Arial"/>
          <w:sz w:val="24"/>
          <w:szCs w:val="24"/>
        </w:rPr>
        <w:t xml:space="preserve">for </w:t>
      </w:r>
      <w:r w:rsidR="00505050" w:rsidRPr="00565933">
        <w:rPr>
          <w:rFonts w:ascii="Arial" w:eastAsia="Calibri" w:hAnsi="Arial" w:cs="Arial"/>
          <w:sz w:val="24"/>
          <w:szCs w:val="24"/>
        </w:rPr>
        <w:t>a standard</w:t>
      </w:r>
      <w:r w:rsidR="00465E77" w:rsidRPr="00565933">
        <w:rPr>
          <w:rFonts w:ascii="Arial" w:eastAsia="Calibri" w:hAnsi="Arial" w:cs="Arial"/>
          <w:sz w:val="24"/>
          <w:szCs w:val="24"/>
        </w:rPr>
        <w:t xml:space="preserve"> award</w:t>
      </w:r>
      <w:r w:rsidR="004E3697" w:rsidRPr="00565933">
        <w:rPr>
          <w:rFonts w:ascii="Arial" w:eastAsia="Calibri" w:hAnsi="Arial" w:cs="Arial"/>
          <w:sz w:val="24"/>
          <w:szCs w:val="24"/>
        </w:rPr>
        <w:t xml:space="preserve"> of the daily living component</w:t>
      </w:r>
      <w:r w:rsidR="00465E77" w:rsidRPr="00565933">
        <w:rPr>
          <w:rFonts w:ascii="Arial" w:eastAsia="Calibri" w:hAnsi="Arial" w:cs="Arial"/>
          <w:sz w:val="24"/>
          <w:szCs w:val="24"/>
        </w:rPr>
        <w:t xml:space="preserve"> </w:t>
      </w:r>
      <w:r w:rsidR="00B525C4" w:rsidRPr="00565933">
        <w:rPr>
          <w:rFonts w:ascii="Arial" w:eastAsia="Calibri" w:hAnsi="Arial" w:cs="Arial"/>
          <w:sz w:val="24"/>
          <w:szCs w:val="24"/>
        </w:rPr>
        <w:t>was not met</w:t>
      </w:r>
      <w:r w:rsidR="003823DE" w:rsidRPr="00565933">
        <w:rPr>
          <w:rFonts w:ascii="Arial" w:eastAsia="Calibri" w:hAnsi="Arial" w:cs="Arial"/>
          <w:sz w:val="24"/>
          <w:szCs w:val="24"/>
        </w:rPr>
        <w:t>.</w:t>
      </w:r>
      <w:r>
        <w:rPr>
          <w:rFonts w:ascii="Arial" w:eastAsia="Calibri" w:hAnsi="Arial" w:cs="Arial"/>
          <w:sz w:val="24"/>
          <w:szCs w:val="24"/>
        </w:rPr>
        <w:t xml:space="preserve"> </w:t>
      </w:r>
      <w:r w:rsidR="003823DE" w:rsidRPr="00565933">
        <w:rPr>
          <w:rFonts w:ascii="Arial" w:eastAsia="Calibri" w:hAnsi="Arial" w:cs="Arial"/>
          <w:sz w:val="24"/>
          <w:szCs w:val="24"/>
        </w:rPr>
        <w:t xml:space="preserve"> </w:t>
      </w:r>
      <w:r w:rsidR="00B525C4" w:rsidRPr="00565933">
        <w:rPr>
          <w:rFonts w:ascii="Arial" w:eastAsia="Calibri" w:hAnsi="Arial" w:cs="Arial"/>
          <w:sz w:val="24"/>
          <w:szCs w:val="24"/>
        </w:rPr>
        <w:t>It reduced her points under the mobility descriptors from ten to four, finding that she could walk between 50 and 200 metres within the terms of the descriptors and associated provisions</w:t>
      </w:r>
      <w:r w:rsidR="003823DE" w:rsidRPr="00565933">
        <w:rPr>
          <w:rFonts w:ascii="Arial" w:eastAsia="Calibri" w:hAnsi="Arial" w:cs="Arial"/>
          <w:sz w:val="24"/>
          <w:szCs w:val="24"/>
        </w:rPr>
        <w:t xml:space="preserve">. </w:t>
      </w:r>
      <w:r>
        <w:rPr>
          <w:rFonts w:ascii="Arial" w:eastAsia="Calibri" w:hAnsi="Arial" w:cs="Arial"/>
          <w:sz w:val="24"/>
          <w:szCs w:val="24"/>
        </w:rPr>
        <w:t xml:space="preserve"> </w:t>
      </w:r>
      <w:r w:rsidR="00B525C4" w:rsidRPr="00565933">
        <w:rPr>
          <w:rFonts w:ascii="Arial" w:eastAsia="Calibri" w:hAnsi="Arial" w:cs="Arial"/>
          <w:sz w:val="24"/>
          <w:szCs w:val="24"/>
        </w:rPr>
        <w:t>Accordingly, her award of the standard rate of the mobility component was taken away</w:t>
      </w:r>
      <w:r w:rsidR="00824470" w:rsidRPr="00565933">
        <w:rPr>
          <w:rFonts w:ascii="Arial" w:eastAsia="Calibri" w:hAnsi="Arial" w:cs="Arial"/>
          <w:sz w:val="24"/>
          <w:szCs w:val="24"/>
        </w:rPr>
        <w:t>.</w:t>
      </w:r>
    </w:p>
    <w:p w14:paraId="4E3A09EA" w14:textId="77777777" w:rsidR="00505050" w:rsidRPr="00565933" w:rsidRDefault="00505050" w:rsidP="00835C4F">
      <w:pPr>
        <w:pStyle w:val="ListParagraph"/>
        <w:tabs>
          <w:tab w:val="left" w:pos="510"/>
          <w:tab w:val="left" w:pos="1077"/>
          <w:tab w:val="left" w:pos="1797"/>
        </w:tabs>
        <w:spacing w:after="0" w:line="240" w:lineRule="auto"/>
        <w:ind w:left="510" w:hanging="510"/>
        <w:jc w:val="both"/>
        <w:rPr>
          <w:rFonts w:ascii="Arial" w:eastAsia="Calibri" w:hAnsi="Arial" w:cs="Arial"/>
          <w:sz w:val="24"/>
          <w:szCs w:val="24"/>
        </w:rPr>
      </w:pPr>
    </w:p>
    <w:p w14:paraId="06F54125" w14:textId="6E93A848" w:rsidR="002C4CE3" w:rsidRPr="00565933" w:rsidRDefault="00835C4F" w:rsidP="00835C4F">
      <w:pPr>
        <w:pStyle w:val="ListParagraph"/>
        <w:tabs>
          <w:tab w:val="left" w:pos="510"/>
          <w:tab w:val="left" w:pos="1077"/>
          <w:tab w:val="left" w:pos="1797"/>
        </w:tabs>
        <w:spacing w:after="0" w:line="240" w:lineRule="auto"/>
        <w:ind w:left="510" w:hanging="510"/>
        <w:jc w:val="both"/>
        <w:rPr>
          <w:rFonts w:ascii="Arial" w:eastAsia="Calibri" w:hAnsi="Arial" w:cs="Arial"/>
          <w:sz w:val="24"/>
          <w:szCs w:val="24"/>
        </w:rPr>
      </w:pPr>
      <w:r>
        <w:rPr>
          <w:rFonts w:ascii="Arial" w:eastAsia="Calibri" w:hAnsi="Arial" w:cs="Arial"/>
          <w:sz w:val="24"/>
          <w:szCs w:val="24"/>
        </w:rPr>
        <w:t>11.</w:t>
      </w:r>
      <w:r>
        <w:rPr>
          <w:rFonts w:ascii="Arial" w:eastAsia="Calibri" w:hAnsi="Arial" w:cs="Arial"/>
          <w:sz w:val="24"/>
          <w:szCs w:val="24"/>
        </w:rPr>
        <w:tab/>
      </w:r>
      <w:r w:rsidR="00861EBF" w:rsidRPr="00565933">
        <w:rPr>
          <w:rFonts w:ascii="Arial" w:eastAsia="Calibri" w:hAnsi="Arial" w:cs="Arial"/>
          <w:sz w:val="24"/>
          <w:szCs w:val="24"/>
        </w:rPr>
        <w:t>The</w:t>
      </w:r>
      <w:r w:rsidR="002C4CE3" w:rsidRPr="00565933">
        <w:rPr>
          <w:rFonts w:ascii="Arial" w:eastAsia="Calibri" w:hAnsi="Arial" w:cs="Arial"/>
          <w:sz w:val="24"/>
          <w:szCs w:val="24"/>
        </w:rPr>
        <w:t>re is an issue before me as to whether the appellant had wanted the tribunal to look at the mobility component at all</w:t>
      </w:r>
      <w:r w:rsidR="00B525C4" w:rsidRPr="00565933">
        <w:rPr>
          <w:rFonts w:ascii="Arial" w:eastAsia="Calibri" w:hAnsi="Arial" w:cs="Arial"/>
          <w:sz w:val="24"/>
          <w:szCs w:val="24"/>
        </w:rPr>
        <w:t xml:space="preserve">; she </w:t>
      </w:r>
      <w:r w:rsidR="002C4CE3" w:rsidRPr="00565933">
        <w:rPr>
          <w:rFonts w:ascii="Arial" w:eastAsia="Calibri" w:hAnsi="Arial" w:cs="Arial"/>
          <w:sz w:val="24"/>
          <w:szCs w:val="24"/>
        </w:rPr>
        <w:t>might have wanted that considered to raise it to the higher rate</w:t>
      </w:r>
      <w:r w:rsidR="00B525C4" w:rsidRPr="00565933">
        <w:rPr>
          <w:rFonts w:ascii="Arial" w:eastAsia="Calibri" w:hAnsi="Arial" w:cs="Arial"/>
          <w:sz w:val="24"/>
          <w:szCs w:val="24"/>
        </w:rPr>
        <w:t xml:space="preserve">, but </w:t>
      </w:r>
      <w:r w:rsidR="004E3697" w:rsidRPr="00565933">
        <w:rPr>
          <w:rFonts w:ascii="Arial" w:eastAsia="Calibri" w:hAnsi="Arial" w:cs="Arial"/>
          <w:sz w:val="24"/>
          <w:szCs w:val="24"/>
        </w:rPr>
        <w:t>she says not</w:t>
      </w:r>
      <w:r w:rsidR="00B525C4" w:rsidRPr="00565933">
        <w:rPr>
          <w:rFonts w:ascii="Arial" w:eastAsia="Calibri" w:hAnsi="Arial" w:cs="Arial"/>
          <w:sz w:val="24"/>
          <w:szCs w:val="24"/>
        </w:rPr>
        <w:t>.  This is a matter of importance, a</w:t>
      </w:r>
      <w:r w:rsidR="004E3697" w:rsidRPr="00565933">
        <w:rPr>
          <w:rFonts w:ascii="Arial" w:eastAsia="Calibri" w:hAnsi="Arial" w:cs="Arial"/>
          <w:sz w:val="24"/>
          <w:szCs w:val="24"/>
        </w:rPr>
        <w:t>nd I explain it below</w:t>
      </w:r>
      <w:r w:rsidR="003823DE" w:rsidRPr="00565933">
        <w:rPr>
          <w:rFonts w:ascii="Arial" w:eastAsia="Calibri" w:hAnsi="Arial" w:cs="Arial"/>
          <w:sz w:val="24"/>
          <w:szCs w:val="24"/>
        </w:rPr>
        <w:t>.</w:t>
      </w:r>
    </w:p>
    <w:p w14:paraId="4CBB152D" w14:textId="77777777" w:rsidR="00861EBF" w:rsidRPr="007B551F" w:rsidRDefault="00861EBF" w:rsidP="00835C4F">
      <w:pPr>
        <w:tabs>
          <w:tab w:val="left" w:pos="510"/>
          <w:tab w:val="left" w:pos="1077"/>
          <w:tab w:val="left" w:pos="1797"/>
        </w:tabs>
        <w:spacing w:after="0" w:line="240" w:lineRule="auto"/>
        <w:contextualSpacing/>
        <w:rPr>
          <w:rFonts w:ascii="Arial" w:eastAsia="Times New Roman" w:hAnsi="Arial" w:cs="Arial"/>
          <w:sz w:val="24"/>
          <w:szCs w:val="24"/>
        </w:rPr>
      </w:pPr>
    </w:p>
    <w:p w14:paraId="4028384A" w14:textId="03BAF51B" w:rsidR="00861EBF" w:rsidRPr="00565933" w:rsidRDefault="004E05BC" w:rsidP="009A52CF">
      <w:pPr>
        <w:tabs>
          <w:tab w:val="left" w:pos="510"/>
          <w:tab w:val="left" w:pos="1077"/>
          <w:tab w:val="left" w:pos="1797"/>
        </w:tabs>
        <w:spacing w:after="0" w:line="240" w:lineRule="auto"/>
        <w:contextualSpacing/>
        <w:rPr>
          <w:rFonts w:ascii="Arial" w:eastAsia="Calibri" w:hAnsi="Arial" w:cs="Arial"/>
          <w:b/>
          <w:sz w:val="24"/>
          <w:szCs w:val="24"/>
        </w:rPr>
      </w:pPr>
      <w:r>
        <w:rPr>
          <w:rFonts w:ascii="Arial" w:eastAsia="Calibri" w:hAnsi="Arial" w:cs="Arial"/>
          <w:b/>
          <w:sz w:val="24"/>
          <w:szCs w:val="24"/>
        </w:rPr>
        <w:tab/>
      </w:r>
      <w:r w:rsidR="00861EBF" w:rsidRPr="00565933">
        <w:rPr>
          <w:rFonts w:ascii="Arial" w:eastAsia="Calibri" w:hAnsi="Arial" w:cs="Arial"/>
          <w:b/>
          <w:sz w:val="24"/>
          <w:szCs w:val="24"/>
        </w:rPr>
        <w:t>The arguments of the parties</w:t>
      </w:r>
    </w:p>
    <w:p w14:paraId="620439A9" w14:textId="77777777" w:rsidR="00861EBF" w:rsidRPr="007B551F" w:rsidRDefault="00861EBF" w:rsidP="009A52CF">
      <w:pPr>
        <w:tabs>
          <w:tab w:val="left" w:pos="510"/>
          <w:tab w:val="left" w:pos="1077"/>
          <w:tab w:val="left" w:pos="1797"/>
        </w:tabs>
        <w:spacing w:after="0" w:line="240" w:lineRule="auto"/>
        <w:contextualSpacing/>
        <w:rPr>
          <w:rFonts w:ascii="Arial" w:eastAsia="Calibri" w:hAnsi="Arial" w:cs="Arial"/>
          <w:bCs/>
          <w:sz w:val="24"/>
          <w:szCs w:val="24"/>
        </w:rPr>
      </w:pPr>
    </w:p>
    <w:p w14:paraId="5724ECDF" w14:textId="3659BB1D" w:rsidR="00861EBF" w:rsidRPr="00565933" w:rsidRDefault="004E05BC" w:rsidP="009A52CF">
      <w:pPr>
        <w:tabs>
          <w:tab w:val="left" w:pos="510"/>
          <w:tab w:val="left" w:pos="1077"/>
          <w:tab w:val="left" w:pos="1797"/>
        </w:tabs>
        <w:spacing w:after="0" w:line="240" w:lineRule="auto"/>
        <w:contextualSpacing/>
        <w:rPr>
          <w:rFonts w:ascii="Arial" w:eastAsia="Calibri" w:hAnsi="Arial" w:cs="Arial"/>
          <w:b/>
          <w:sz w:val="24"/>
          <w:szCs w:val="24"/>
        </w:rPr>
      </w:pPr>
      <w:r>
        <w:rPr>
          <w:rFonts w:ascii="Arial" w:eastAsia="Calibri" w:hAnsi="Arial" w:cs="Arial"/>
          <w:b/>
          <w:sz w:val="24"/>
          <w:szCs w:val="24"/>
        </w:rPr>
        <w:tab/>
      </w:r>
      <w:r w:rsidR="00861EBF" w:rsidRPr="00565933">
        <w:rPr>
          <w:rFonts w:ascii="Arial" w:eastAsia="Calibri" w:hAnsi="Arial" w:cs="Arial"/>
          <w:b/>
          <w:sz w:val="24"/>
          <w:szCs w:val="24"/>
        </w:rPr>
        <w:t>The appellant</w:t>
      </w:r>
    </w:p>
    <w:p w14:paraId="3EA0171B" w14:textId="77777777" w:rsidR="00861EBF" w:rsidRPr="007B551F" w:rsidRDefault="00861EBF" w:rsidP="009A52CF">
      <w:pPr>
        <w:tabs>
          <w:tab w:val="left" w:pos="510"/>
          <w:tab w:val="left" w:pos="1077"/>
          <w:tab w:val="left" w:pos="1797"/>
        </w:tabs>
        <w:spacing w:after="0" w:line="240" w:lineRule="auto"/>
        <w:contextualSpacing/>
        <w:rPr>
          <w:rFonts w:ascii="Arial" w:eastAsia="Calibri" w:hAnsi="Arial" w:cs="Arial"/>
          <w:bCs/>
          <w:sz w:val="24"/>
          <w:szCs w:val="24"/>
        </w:rPr>
      </w:pPr>
    </w:p>
    <w:p w14:paraId="5C04AB39" w14:textId="28446787" w:rsidR="00861EBF" w:rsidRPr="00565933" w:rsidRDefault="004E05BC" w:rsidP="00332181">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12.</w:t>
      </w:r>
      <w:r>
        <w:rPr>
          <w:rFonts w:ascii="Arial" w:eastAsia="Calibri" w:hAnsi="Arial" w:cs="Arial"/>
          <w:sz w:val="24"/>
          <w:szCs w:val="24"/>
        </w:rPr>
        <w:tab/>
      </w:r>
      <w:r w:rsidR="00861EBF" w:rsidRPr="00565933">
        <w:rPr>
          <w:rFonts w:ascii="Arial" w:eastAsia="Calibri" w:hAnsi="Arial" w:cs="Arial"/>
          <w:sz w:val="24"/>
          <w:szCs w:val="24"/>
        </w:rPr>
        <w:t xml:space="preserve">The application to the Commissioners has identified areas </w:t>
      </w:r>
      <w:r w:rsidR="00BE2A5B" w:rsidRPr="00565933">
        <w:rPr>
          <w:rFonts w:ascii="Arial" w:eastAsia="Calibri" w:hAnsi="Arial" w:cs="Arial"/>
          <w:sz w:val="24"/>
          <w:szCs w:val="24"/>
        </w:rPr>
        <w:t xml:space="preserve">of disagreement in </w:t>
      </w:r>
      <w:r w:rsidR="00861EBF" w:rsidRPr="00565933">
        <w:rPr>
          <w:rFonts w:ascii="Arial" w:eastAsia="Calibri" w:hAnsi="Arial" w:cs="Arial"/>
          <w:sz w:val="24"/>
          <w:szCs w:val="24"/>
        </w:rPr>
        <w:t>which it is said that the tribunal fell into error of law</w:t>
      </w:r>
      <w:r w:rsidR="003823DE" w:rsidRPr="00565933">
        <w:rPr>
          <w:rFonts w:ascii="Arial" w:eastAsia="Calibri" w:hAnsi="Arial" w:cs="Arial"/>
          <w:sz w:val="24"/>
          <w:szCs w:val="24"/>
        </w:rPr>
        <w:t>.</w:t>
      </w:r>
    </w:p>
    <w:p w14:paraId="3A29953B" w14:textId="77777777" w:rsidR="00861EBF" w:rsidRPr="00565933" w:rsidRDefault="00861EBF" w:rsidP="009A52CF">
      <w:pPr>
        <w:tabs>
          <w:tab w:val="left" w:pos="510"/>
          <w:tab w:val="left" w:pos="1077"/>
          <w:tab w:val="left" w:pos="1797"/>
        </w:tabs>
        <w:spacing w:after="0" w:line="240" w:lineRule="auto"/>
        <w:contextualSpacing/>
        <w:rPr>
          <w:rFonts w:ascii="Arial" w:eastAsia="Calibri" w:hAnsi="Arial" w:cs="Arial"/>
          <w:sz w:val="24"/>
          <w:szCs w:val="24"/>
        </w:rPr>
      </w:pPr>
    </w:p>
    <w:p w14:paraId="684EC502" w14:textId="6344776A" w:rsidR="00861EBF" w:rsidRPr="00565933" w:rsidRDefault="00332181" w:rsidP="009A52CF">
      <w:pPr>
        <w:tabs>
          <w:tab w:val="left" w:pos="510"/>
          <w:tab w:val="left" w:pos="1077"/>
          <w:tab w:val="left" w:pos="1797"/>
        </w:tabs>
        <w:spacing w:after="0" w:line="240" w:lineRule="auto"/>
        <w:contextualSpacing/>
        <w:rPr>
          <w:rFonts w:ascii="Arial" w:eastAsia="Calibri" w:hAnsi="Arial" w:cs="Arial"/>
          <w:b/>
          <w:sz w:val="24"/>
          <w:szCs w:val="24"/>
        </w:rPr>
      </w:pPr>
      <w:r>
        <w:rPr>
          <w:rFonts w:ascii="Arial" w:eastAsia="Calibri" w:hAnsi="Arial" w:cs="Arial"/>
          <w:b/>
          <w:sz w:val="24"/>
          <w:szCs w:val="24"/>
        </w:rPr>
        <w:tab/>
      </w:r>
      <w:r w:rsidR="00861EBF" w:rsidRPr="00565933">
        <w:rPr>
          <w:rFonts w:ascii="Arial" w:eastAsia="Calibri" w:hAnsi="Arial" w:cs="Arial"/>
          <w:b/>
          <w:sz w:val="24"/>
          <w:szCs w:val="24"/>
        </w:rPr>
        <w:t>The respondent</w:t>
      </w:r>
    </w:p>
    <w:p w14:paraId="30E8CFFE" w14:textId="77777777" w:rsidR="00861EBF" w:rsidRPr="00BA015C" w:rsidRDefault="00861EBF" w:rsidP="009A52CF">
      <w:pPr>
        <w:tabs>
          <w:tab w:val="left" w:pos="510"/>
          <w:tab w:val="left" w:pos="1077"/>
          <w:tab w:val="left" w:pos="1797"/>
        </w:tabs>
        <w:spacing w:after="0" w:line="240" w:lineRule="auto"/>
        <w:contextualSpacing/>
        <w:rPr>
          <w:rFonts w:ascii="Arial" w:eastAsia="Calibri" w:hAnsi="Arial" w:cs="Arial"/>
          <w:bCs/>
          <w:sz w:val="24"/>
          <w:szCs w:val="24"/>
        </w:rPr>
      </w:pPr>
    </w:p>
    <w:p w14:paraId="6E801D2F" w14:textId="27F2BDE8" w:rsidR="00861EBF" w:rsidRPr="00565933" w:rsidRDefault="00332181" w:rsidP="00332181">
      <w:pPr>
        <w:tabs>
          <w:tab w:val="left" w:pos="510"/>
          <w:tab w:val="left" w:pos="1077"/>
          <w:tab w:val="left" w:pos="1797"/>
        </w:tabs>
        <w:spacing w:after="0" w:line="240" w:lineRule="auto"/>
        <w:ind w:left="510" w:hanging="510"/>
        <w:contextualSpacing/>
        <w:jc w:val="both"/>
        <w:rPr>
          <w:rFonts w:ascii="Arial" w:eastAsia="Calibri" w:hAnsi="Arial" w:cs="Arial"/>
          <w:bCs/>
          <w:sz w:val="24"/>
          <w:szCs w:val="24"/>
        </w:rPr>
      </w:pPr>
      <w:r>
        <w:rPr>
          <w:rFonts w:ascii="Arial" w:eastAsia="Calibri" w:hAnsi="Arial" w:cs="Arial"/>
          <w:bCs/>
          <w:sz w:val="24"/>
          <w:szCs w:val="24"/>
        </w:rPr>
        <w:t>13.</w:t>
      </w:r>
      <w:r>
        <w:rPr>
          <w:rFonts w:ascii="Arial" w:eastAsia="Calibri" w:hAnsi="Arial" w:cs="Arial"/>
          <w:bCs/>
          <w:sz w:val="24"/>
          <w:szCs w:val="24"/>
        </w:rPr>
        <w:tab/>
      </w:r>
      <w:r w:rsidR="00006A17" w:rsidRPr="00565933">
        <w:rPr>
          <w:rFonts w:ascii="Arial" w:eastAsia="Calibri" w:hAnsi="Arial" w:cs="Arial"/>
          <w:bCs/>
          <w:sz w:val="24"/>
          <w:szCs w:val="24"/>
        </w:rPr>
        <w:t>I</w:t>
      </w:r>
      <w:r w:rsidR="00A92F5C" w:rsidRPr="00565933">
        <w:rPr>
          <w:rFonts w:ascii="Arial" w:eastAsia="Calibri" w:hAnsi="Arial" w:cs="Arial"/>
          <w:bCs/>
          <w:sz w:val="24"/>
          <w:szCs w:val="24"/>
        </w:rPr>
        <w:t xml:space="preserve">n </w:t>
      </w:r>
      <w:r w:rsidR="00006A17" w:rsidRPr="00565933">
        <w:rPr>
          <w:rFonts w:ascii="Arial" w:eastAsia="Calibri" w:hAnsi="Arial" w:cs="Arial"/>
          <w:bCs/>
          <w:sz w:val="24"/>
          <w:szCs w:val="24"/>
        </w:rPr>
        <w:t>his</w:t>
      </w:r>
      <w:r w:rsidR="00A92F5C" w:rsidRPr="00565933">
        <w:rPr>
          <w:rFonts w:ascii="Arial" w:eastAsia="Calibri" w:hAnsi="Arial" w:cs="Arial"/>
          <w:bCs/>
          <w:sz w:val="24"/>
          <w:szCs w:val="24"/>
        </w:rPr>
        <w:t xml:space="preserve"> submissi</w:t>
      </w:r>
      <w:r w:rsidR="00006A17" w:rsidRPr="00565933">
        <w:rPr>
          <w:rFonts w:ascii="Arial" w:eastAsia="Calibri" w:hAnsi="Arial" w:cs="Arial"/>
          <w:bCs/>
          <w:sz w:val="24"/>
          <w:szCs w:val="24"/>
        </w:rPr>
        <w:t>on Mr Clements e</w:t>
      </w:r>
      <w:r w:rsidR="00861EBF" w:rsidRPr="00565933">
        <w:rPr>
          <w:rFonts w:ascii="Arial" w:eastAsia="Calibri" w:hAnsi="Arial" w:cs="Arial"/>
          <w:bCs/>
          <w:sz w:val="24"/>
          <w:szCs w:val="24"/>
        </w:rPr>
        <w:t>xplain</w:t>
      </w:r>
      <w:r w:rsidR="00A92F5C" w:rsidRPr="00565933">
        <w:rPr>
          <w:rFonts w:ascii="Arial" w:eastAsia="Calibri" w:hAnsi="Arial" w:cs="Arial"/>
          <w:bCs/>
          <w:sz w:val="24"/>
          <w:szCs w:val="24"/>
        </w:rPr>
        <w:t>s</w:t>
      </w:r>
      <w:r w:rsidR="00861EBF" w:rsidRPr="00565933">
        <w:rPr>
          <w:rFonts w:ascii="Arial" w:eastAsia="Calibri" w:hAnsi="Arial" w:cs="Arial"/>
          <w:bCs/>
          <w:sz w:val="24"/>
          <w:szCs w:val="24"/>
        </w:rPr>
        <w:t xml:space="preserve"> the background</w:t>
      </w:r>
      <w:r w:rsidR="0007503B" w:rsidRPr="00565933">
        <w:rPr>
          <w:rFonts w:ascii="Arial" w:eastAsia="Calibri" w:hAnsi="Arial" w:cs="Arial"/>
          <w:bCs/>
          <w:sz w:val="24"/>
          <w:szCs w:val="24"/>
        </w:rPr>
        <w:t xml:space="preserve"> </w:t>
      </w:r>
      <w:r w:rsidR="00861EBF" w:rsidRPr="00565933">
        <w:rPr>
          <w:rFonts w:ascii="Arial" w:eastAsia="Calibri" w:hAnsi="Arial" w:cs="Arial"/>
          <w:bCs/>
          <w:sz w:val="24"/>
          <w:szCs w:val="24"/>
        </w:rPr>
        <w:t xml:space="preserve">and set out the </w:t>
      </w:r>
      <w:r w:rsidR="00A92F5C" w:rsidRPr="00565933">
        <w:rPr>
          <w:rFonts w:ascii="Arial" w:eastAsia="Calibri" w:hAnsi="Arial" w:cs="Arial"/>
          <w:bCs/>
          <w:sz w:val="24"/>
          <w:szCs w:val="24"/>
        </w:rPr>
        <w:t>appellant’s</w:t>
      </w:r>
      <w:r w:rsidR="00861EBF" w:rsidRPr="00565933">
        <w:rPr>
          <w:rFonts w:ascii="Arial" w:eastAsia="Calibri" w:hAnsi="Arial" w:cs="Arial"/>
          <w:bCs/>
          <w:sz w:val="24"/>
          <w:szCs w:val="24"/>
        </w:rPr>
        <w:t xml:space="preserve"> arguments</w:t>
      </w:r>
      <w:r w:rsidR="003823DE" w:rsidRPr="00565933">
        <w:rPr>
          <w:rFonts w:ascii="Arial" w:eastAsia="Calibri" w:hAnsi="Arial" w:cs="Arial"/>
          <w:bCs/>
          <w:sz w:val="24"/>
          <w:szCs w:val="24"/>
        </w:rPr>
        <w:t xml:space="preserve">. </w:t>
      </w:r>
      <w:r>
        <w:rPr>
          <w:rFonts w:ascii="Arial" w:eastAsia="Calibri" w:hAnsi="Arial" w:cs="Arial"/>
          <w:bCs/>
          <w:sz w:val="24"/>
          <w:szCs w:val="24"/>
        </w:rPr>
        <w:t xml:space="preserve"> </w:t>
      </w:r>
      <w:r w:rsidR="00006A17" w:rsidRPr="00565933">
        <w:rPr>
          <w:rFonts w:ascii="Arial" w:eastAsia="Calibri" w:hAnsi="Arial" w:cs="Arial"/>
          <w:bCs/>
          <w:sz w:val="24"/>
          <w:szCs w:val="24"/>
        </w:rPr>
        <w:t xml:space="preserve">In its conclusion, the department supports the appeal, having </w:t>
      </w:r>
      <w:r w:rsidR="0007503B" w:rsidRPr="00565933">
        <w:rPr>
          <w:rFonts w:ascii="Arial" w:eastAsia="Calibri" w:hAnsi="Arial" w:cs="Arial"/>
          <w:bCs/>
          <w:sz w:val="24"/>
          <w:szCs w:val="24"/>
        </w:rPr>
        <w:t>analyse</w:t>
      </w:r>
      <w:r w:rsidR="00006A17" w:rsidRPr="00565933">
        <w:rPr>
          <w:rFonts w:ascii="Arial" w:eastAsia="Calibri" w:hAnsi="Arial" w:cs="Arial"/>
          <w:bCs/>
          <w:sz w:val="24"/>
          <w:szCs w:val="24"/>
        </w:rPr>
        <w:t>d</w:t>
      </w:r>
      <w:r w:rsidR="00A92F5C" w:rsidRPr="00565933">
        <w:rPr>
          <w:rFonts w:ascii="Arial" w:eastAsia="Calibri" w:hAnsi="Arial" w:cs="Arial"/>
          <w:bCs/>
          <w:sz w:val="24"/>
          <w:szCs w:val="24"/>
        </w:rPr>
        <w:t xml:space="preserve"> </w:t>
      </w:r>
      <w:r w:rsidR="0007503B" w:rsidRPr="00565933">
        <w:rPr>
          <w:rFonts w:ascii="Arial" w:eastAsia="Calibri" w:hAnsi="Arial" w:cs="Arial"/>
          <w:bCs/>
          <w:sz w:val="24"/>
          <w:szCs w:val="24"/>
        </w:rPr>
        <w:t>an</w:t>
      </w:r>
      <w:r w:rsidR="00A92F5C" w:rsidRPr="00565933">
        <w:rPr>
          <w:rFonts w:ascii="Arial" w:eastAsia="Calibri" w:hAnsi="Arial" w:cs="Arial"/>
          <w:bCs/>
          <w:sz w:val="24"/>
          <w:szCs w:val="24"/>
        </w:rPr>
        <w:t>other matter</w:t>
      </w:r>
      <w:r w:rsidR="0007503B" w:rsidRPr="00565933">
        <w:rPr>
          <w:rFonts w:ascii="Arial" w:eastAsia="Calibri" w:hAnsi="Arial" w:cs="Arial"/>
          <w:bCs/>
          <w:sz w:val="24"/>
          <w:szCs w:val="24"/>
        </w:rPr>
        <w:t xml:space="preserve"> </w:t>
      </w:r>
      <w:r w:rsidR="00A92F5C" w:rsidRPr="00565933">
        <w:rPr>
          <w:rFonts w:ascii="Arial" w:eastAsia="Calibri" w:hAnsi="Arial" w:cs="Arial"/>
          <w:bCs/>
          <w:sz w:val="24"/>
          <w:szCs w:val="24"/>
        </w:rPr>
        <w:t xml:space="preserve">which </w:t>
      </w:r>
      <w:r w:rsidR="00006A17" w:rsidRPr="00565933">
        <w:rPr>
          <w:rFonts w:ascii="Arial" w:eastAsia="Calibri" w:hAnsi="Arial" w:cs="Arial"/>
          <w:bCs/>
          <w:sz w:val="24"/>
          <w:szCs w:val="24"/>
        </w:rPr>
        <w:t>he sees as</w:t>
      </w:r>
      <w:r w:rsidR="0007503B" w:rsidRPr="00565933">
        <w:rPr>
          <w:rFonts w:ascii="Arial" w:eastAsia="Calibri" w:hAnsi="Arial" w:cs="Arial"/>
          <w:bCs/>
          <w:sz w:val="24"/>
          <w:szCs w:val="24"/>
        </w:rPr>
        <w:t xml:space="preserve"> critical to a fair process, and </w:t>
      </w:r>
      <w:r w:rsidR="00A92F5C" w:rsidRPr="00565933">
        <w:rPr>
          <w:rFonts w:ascii="Arial" w:eastAsia="Calibri" w:hAnsi="Arial" w:cs="Arial"/>
          <w:bCs/>
          <w:sz w:val="24"/>
          <w:szCs w:val="24"/>
        </w:rPr>
        <w:t>merit</w:t>
      </w:r>
      <w:r w:rsidR="0007503B" w:rsidRPr="00565933">
        <w:rPr>
          <w:rFonts w:ascii="Arial" w:eastAsia="Calibri" w:hAnsi="Arial" w:cs="Arial"/>
          <w:bCs/>
          <w:sz w:val="24"/>
          <w:szCs w:val="24"/>
        </w:rPr>
        <w:t>s</w:t>
      </w:r>
      <w:r w:rsidR="00A92F5C" w:rsidRPr="00565933">
        <w:rPr>
          <w:rFonts w:ascii="Arial" w:eastAsia="Calibri" w:hAnsi="Arial" w:cs="Arial"/>
          <w:bCs/>
          <w:sz w:val="24"/>
          <w:szCs w:val="24"/>
        </w:rPr>
        <w:t xml:space="preserve"> the re-hearing of the appeal</w:t>
      </w:r>
      <w:r w:rsidR="003823DE" w:rsidRPr="00565933">
        <w:rPr>
          <w:rFonts w:ascii="Arial" w:eastAsia="Calibri" w:hAnsi="Arial" w:cs="Arial"/>
          <w:bCs/>
          <w:sz w:val="24"/>
          <w:szCs w:val="24"/>
        </w:rPr>
        <w:t>.</w:t>
      </w:r>
      <w:r>
        <w:rPr>
          <w:rFonts w:ascii="Arial" w:eastAsia="Calibri" w:hAnsi="Arial" w:cs="Arial"/>
          <w:bCs/>
          <w:sz w:val="24"/>
          <w:szCs w:val="24"/>
        </w:rPr>
        <w:t xml:space="preserve"> </w:t>
      </w:r>
      <w:r w:rsidR="003823DE" w:rsidRPr="00565933">
        <w:rPr>
          <w:rFonts w:ascii="Arial" w:eastAsia="Calibri" w:hAnsi="Arial" w:cs="Arial"/>
          <w:bCs/>
          <w:sz w:val="24"/>
          <w:szCs w:val="24"/>
        </w:rPr>
        <w:t xml:space="preserve"> </w:t>
      </w:r>
      <w:r w:rsidR="00006A17" w:rsidRPr="00565933">
        <w:rPr>
          <w:rFonts w:ascii="Arial" w:eastAsia="Calibri" w:hAnsi="Arial" w:cs="Arial"/>
          <w:bCs/>
          <w:sz w:val="24"/>
          <w:szCs w:val="24"/>
        </w:rPr>
        <w:t>I agree with him.</w:t>
      </w:r>
    </w:p>
    <w:p w14:paraId="43EC9314" w14:textId="77777777" w:rsidR="00861EBF" w:rsidRPr="00BA015C" w:rsidRDefault="00861EBF" w:rsidP="009A52CF">
      <w:pPr>
        <w:tabs>
          <w:tab w:val="left" w:pos="510"/>
          <w:tab w:val="left" w:pos="1077"/>
          <w:tab w:val="left" w:pos="1797"/>
        </w:tabs>
        <w:spacing w:after="0" w:line="240" w:lineRule="auto"/>
        <w:contextualSpacing/>
        <w:rPr>
          <w:rFonts w:ascii="Arial" w:eastAsia="Calibri" w:hAnsi="Arial" w:cs="Arial"/>
          <w:bCs/>
          <w:sz w:val="24"/>
          <w:szCs w:val="24"/>
        </w:rPr>
      </w:pPr>
    </w:p>
    <w:p w14:paraId="73A2A53D" w14:textId="71A37EC2" w:rsidR="00861EBF" w:rsidRPr="00565933" w:rsidRDefault="00BA015C" w:rsidP="009A52CF">
      <w:pPr>
        <w:tabs>
          <w:tab w:val="left" w:pos="510"/>
          <w:tab w:val="left" w:pos="1077"/>
          <w:tab w:val="left" w:pos="1797"/>
        </w:tabs>
        <w:spacing w:after="0" w:line="240" w:lineRule="auto"/>
        <w:contextualSpacing/>
        <w:rPr>
          <w:rFonts w:ascii="Arial" w:eastAsia="Calibri" w:hAnsi="Arial" w:cs="Arial"/>
          <w:b/>
          <w:bCs/>
          <w:sz w:val="24"/>
          <w:szCs w:val="24"/>
        </w:rPr>
      </w:pPr>
      <w:r>
        <w:rPr>
          <w:rFonts w:ascii="Arial" w:eastAsia="Calibri" w:hAnsi="Arial" w:cs="Arial"/>
          <w:b/>
          <w:bCs/>
          <w:sz w:val="24"/>
          <w:szCs w:val="24"/>
        </w:rPr>
        <w:tab/>
      </w:r>
      <w:r w:rsidR="00861EBF" w:rsidRPr="00565933">
        <w:rPr>
          <w:rFonts w:ascii="Arial" w:eastAsia="Calibri" w:hAnsi="Arial" w:cs="Arial"/>
          <w:b/>
          <w:bCs/>
          <w:sz w:val="24"/>
          <w:szCs w:val="24"/>
        </w:rPr>
        <w:t>My conclusions on the appellant’s arguments</w:t>
      </w:r>
    </w:p>
    <w:p w14:paraId="41A9FFA2" w14:textId="77777777" w:rsidR="00861EBF" w:rsidRPr="00BA015C" w:rsidRDefault="00861EBF" w:rsidP="009A52CF">
      <w:pPr>
        <w:tabs>
          <w:tab w:val="left" w:pos="510"/>
          <w:tab w:val="left" w:pos="1077"/>
          <w:tab w:val="left" w:pos="1797"/>
        </w:tabs>
        <w:spacing w:after="0" w:line="240" w:lineRule="auto"/>
        <w:contextualSpacing/>
        <w:rPr>
          <w:rFonts w:ascii="Arial" w:eastAsia="Calibri" w:hAnsi="Arial" w:cs="Arial"/>
          <w:sz w:val="24"/>
          <w:szCs w:val="24"/>
        </w:rPr>
      </w:pPr>
    </w:p>
    <w:p w14:paraId="4BC6E779" w14:textId="0B6C5525" w:rsidR="00861EBF" w:rsidRPr="00565933" w:rsidRDefault="00BA015C" w:rsidP="00BA015C">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14.</w:t>
      </w:r>
      <w:r>
        <w:rPr>
          <w:rFonts w:ascii="Arial" w:eastAsia="Calibri" w:hAnsi="Arial" w:cs="Arial"/>
          <w:sz w:val="24"/>
          <w:szCs w:val="24"/>
        </w:rPr>
        <w:tab/>
      </w:r>
      <w:r w:rsidR="00861EBF" w:rsidRPr="00565933">
        <w:rPr>
          <w:rFonts w:ascii="Arial" w:eastAsia="Calibri" w:hAnsi="Arial" w:cs="Arial"/>
          <w:sz w:val="24"/>
          <w:szCs w:val="24"/>
        </w:rPr>
        <w:t xml:space="preserve">As I am allowing the appeal on a different basis to those </w:t>
      </w:r>
      <w:r w:rsidR="00A92F5C" w:rsidRPr="00565933">
        <w:rPr>
          <w:rFonts w:ascii="Arial" w:eastAsia="Calibri" w:hAnsi="Arial" w:cs="Arial"/>
          <w:sz w:val="24"/>
          <w:szCs w:val="24"/>
        </w:rPr>
        <w:t xml:space="preserve">the appellant has </w:t>
      </w:r>
      <w:r w:rsidR="00861EBF" w:rsidRPr="00565933">
        <w:rPr>
          <w:rFonts w:ascii="Arial" w:eastAsia="Calibri" w:hAnsi="Arial" w:cs="Arial"/>
          <w:sz w:val="24"/>
          <w:szCs w:val="24"/>
        </w:rPr>
        <w:t xml:space="preserve">put forward, I </w:t>
      </w:r>
      <w:r w:rsidR="00006A17" w:rsidRPr="00565933">
        <w:rPr>
          <w:rFonts w:ascii="Arial" w:eastAsia="Calibri" w:hAnsi="Arial" w:cs="Arial"/>
          <w:sz w:val="24"/>
          <w:szCs w:val="24"/>
        </w:rPr>
        <w:t>need</w:t>
      </w:r>
      <w:r w:rsidR="00415D0B" w:rsidRPr="00565933">
        <w:rPr>
          <w:rFonts w:ascii="Arial" w:eastAsia="Calibri" w:hAnsi="Arial" w:cs="Arial"/>
          <w:sz w:val="24"/>
          <w:szCs w:val="24"/>
        </w:rPr>
        <w:t xml:space="preserve"> say</w:t>
      </w:r>
      <w:r w:rsidR="00006A17" w:rsidRPr="00565933">
        <w:rPr>
          <w:rFonts w:ascii="Arial" w:eastAsia="Calibri" w:hAnsi="Arial" w:cs="Arial"/>
          <w:sz w:val="24"/>
          <w:szCs w:val="24"/>
        </w:rPr>
        <w:t xml:space="preserve"> </w:t>
      </w:r>
      <w:r w:rsidR="00861EBF" w:rsidRPr="00565933">
        <w:rPr>
          <w:rFonts w:ascii="Arial" w:eastAsia="Calibri" w:hAnsi="Arial" w:cs="Arial"/>
          <w:sz w:val="24"/>
          <w:szCs w:val="24"/>
        </w:rPr>
        <w:t>little about the detailed points</w:t>
      </w:r>
      <w:r w:rsidR="00A92F5C" w:rsidRPr="00565933">
        <w:rPr>
          <w:rFonts w:ascii="Arial" w:eastAsia="Calibri" w:hAnsi="Arial" w:cs="Arial"/>
          <w:sz w:val="24"/>
          <w:szCs w:val="24"/>
        </w:rPr>
        <w:t xml:space="preserve"> she</w:t>
      </w:r>
      <w:r w:rsidR="00861EBF" w:rsidRPr="00565933">
        <w:rPr>
          <w:rFonts w:ascii="Arial" w:eastAsia="Calibri" w:hAnsi="Arial" w:cs="Arial"/>
          <w:sz w:val="24"/>
          <w:szCs w:val="24"/>
        </w:rPr>
        <w:t xml:space="preserve"> made. </w:t>
      </w:r>
      <w:r>
        <w:rPr>
          <w:rFonts w:ascii="Arial" w:eastAsia="Calibri" w:hAnsi="Arial" w:cs="Arial"/>
          <w:sz w:val="24"/>
          <w:szCs w:val="24"/>
        </w:rPr>
        <w:t xml:space="preserve"> </w:t>
      </w:r>
      <w:r w:rsidR="00006A17" w:rsidRPr="00565933">
        <w:rPr>
          <w:rFonts w:ascii="Arial" w:eastAsia="Calibri" w:hAnsi="Arial" w:cs="Arial"/>
          <w:sz w:val="24"/>
          <w:szCs w:val="24"/>
        </w:rPr>
        <w:t xml:space="preserve">They </w:t>
      </w:r>
      <w:r w:rsidR="00A92F5C" w:rsidRPr="00565933">
        <w:rPr>
          <w:rFonts w:ascii="Arial" w:eastAsia="Calibri" w:hAnsi="Arial" w:cs="Arial"/>
          <w:sz w:val="24"/>
          <w:szCs w:val="24"/>
        </w:rPr>
        <w:t>are about</w:t>
      </w:r>
      <w:r w:rsidR="00415D0B" w:rsidRPr="00565933">
        <w:rPr>
          <w:rFonts w:ascii="Arial" w:eastAsia="Calibri" w:hAnsi="Arial" w:cs="Arial"/>
          <w:sz w:val="24"/>
          <w:szCs w:val="24"/>
        </w:rPr>
        <w:t xml:space="preserve"> </w:t>
      </w:r>
      <w:r w:rsidR="00861EBF" w:rsidRPr="00565933">
        <w:rPr>
          <w:rFonts w:ascii="Arial" w:eastAsia="Calibri" w:hAnsi="Arial" w:cs="Arial"/>
          <w:sz w:val="24"/>
          <w:szCs w:val="24"/>
        </w:rPr>
        <w:t xml:space="preserve">the factual </w:t>
      </w:r>
      <w:r w:rsidR="00415D0B" w:rsidRPr="00565933">
        <w:rPr>
          <w:rFonts w:ascii="Arial" w:eastAsia="Calibri" w:hAnsi="Arial" w:cs="Arial"/>
          <w:sz w:val="24"/>
          <w:szCs w:val="24"/>
        </w:rPr>
        <w:t>matters, and not the potential legal errors.</w:t>
      </w:r>
      <w:r>
        <w:rPr>
          <w:rFonts w:ascii="Arial" w:eastAsia="Calibri" w:hAnsi="Arial" w:cs="Arial"/>
          <w:sz w:val="24"/>
          <w:szCs w:val="24"/>
        </w:rPr>
        <w:t xml:space="preserve"> </w:t>
      </w:r>
      <w:r w:rsidR="00415D0B" w:rsidRPr="00565933">
        <w:rPr>
          <w:rFonts w:ascii="Arial" w:eastAsia="Calibri" w:hAnsi="Arial" w:cs="Arial"/>
          <w:sz w:val="24"/>
          <w:szCs w:val="24"/>
        </w:rPr>
        <w:t xml:space="preserve"> </w:t>
      </w:r>
      <w:r w:rsidR="00861EBF" w:rsidRPr="00565933">
        <w:rPr>
          <w:rFonts w:ascii="Arial" w:eastAsia="Calibri" w:hAnsi="Arial" w:cs="Arial"/>
          <w:sz w:val="24"/>
          <w:szCs w:val="24"/>
        </w:rPr>
        <w:t>I</w:t>
      </w:r>
      <w:r w:rsidR="00A92F5C" w:rsidRPr="00565933">
        <w:rPr>
          <w:rFonts w:ascii="Arial" w:eastAsia="Calibri" w:hAnsi="Arial" w:cs="Arial"/>
          <w:sz w:val="24"/>
          <w:szCs w:val="24"/>
        </w:rPr>
        <w:t xml:space="preserve"> know how</w:t>
      </w:r>
      <w:r w:rsidR="00415D0B" w:rsidRPr="00565933">
        <w:rPr>
          <w:rFonts w:ascii="Arial" w:eastAsia="Calibri" w:hAnsi="Arial" w:cs="Arial"/>
          <w:sz w:val="24"/>
          <w:szCs w:val="24"/>
        </w:rPr>
        <w:t xml:space="preserve"> difficult</w:t>
      </w:r>
      <w:r w:rsidR="00A92F5C" w:rsidRPr="00565933">
        <w:rPr>
          <w:rFonts w:ascii="Arial" w:eastAsia="Calibri" w:hAnsi="Arial" w:cs="Arial"/>
          <w:sz w:val="24"/>
          <w:szCs w:val="24"/>
        </w:rPr>
        <w:t xml:space="preserve"> it is</w:t>
      </w:r>
      <w:r w:rsidR="00415D0B" w:rsidRPr="00565933">
        <w:rPr>
          <w:rFonts w:ascii="Arial" w:eastAsia="Calibri" w:hAnsi="Arial" w:cs="Arial"/>
          <w:sz w:val="24"/>
          <w:szCs w:val="24"/>
        </w:rPr>
        <w:t xml:space="preserve"> </w:t>
      </w:r>
      <w:r w:rsidR="00861EBF" w:rsidRPr="00565933">
        <w:rPr>
          <w:rFonts w:ascii="Arial" w:eastAsia="Calibri" w:hAnsi="Arial" w:cs="Arial"/>
          <w:sz w:val="24"/>
          <w:szCs w:val="24"/>
        </w:rPr>
        <w:t>for unrepresented claimants in this point of law arena</w:t>
      </w:r>
      <w:r w:rsidR="00A92F5C" w:rsidRPr="00565933">
        <w:rPr>
          <w:rFonts w:ascii="Arial" w:eastAsia="Calibri" w:hAnsi="Arial" w:cs="Arial"/>
          <w:sz w:val="24"/>
          <w:szCs w:val="24"/>
        </w:rPr>
        <w:t xml:space="preserve"> to understand the distinction, which is why I look at the overall picture not just the matters she raises, </w:t>
      </w:r>
      <w:r w:rsidR="00861EBF" w:rsidRPr="00565933">
        <w:rPr>
          <w:rFonts w:ascii="Arial" w:eastAsia="Calibri" w:hAnsi="Arial" w:cs="Arial"/>
          <w:sz w:val="24"/>
          <w:szCs w:val="24"/>
        </w:rPr>
        <w:t>and I am allowing the appeal</w:t>
      </w:r>
      <w:r w:rsidR="00A92F5C" w:rsidRPr="00565933">
        <w:rPr>
          <w:rFonts w:ascii="Arial" w:eastAsia="Calibri" w:hAnsi="Arial" w:cs="Arial"/>
          <w:sz w:val="24"/>
          <w:szCs w:val="24"/>
        </w:rPr>
        <w:t xml:space="preserve"> for </w:t>
      </w:r>
      <w:r w:rsidR="00861EBF" w:rsidRPr="00565933">
        <w:rPr>
          <w:rFonts w:ascii="Arial" w:eastAsia="Calibri" w:hAnsi="Arial" w:cs="Arial"/>
          <w:sz w:val="24"/>
          <w:szCs w:val="24"/>
        </w:rPr>
        <w:t xml:space="preserve">different </w:t>
      </w:r>
      <w:r w:rsidR="00A92F5C" w:rsidRPr="00565933">
        <w:rPr>
          <w:rFonts w:ascii="Arial" w:eastAsia="Calibri" w:hAnsi="Arial" w:cs="Arial"/>
          <w:sz w:val="24"/>
          <w:szCs w:val="24"/>
        </w:rPr>
        <w:t>reasons</w:t>
      </w:r>
      <w:r w:rsidR="00861EBF" w:rsidRPr="00565933">
        <w:rPr>
          <w:rFonts w:ascii="Arial" w:eastAsia="Calibri" w:hAnsi="Arial" w:cs="Arial"/>
          <w:sz w:val="24"/>
          <w:szCs w:val="24"/>
        </w:rPr>
        <w:t xml:space="preserve"> to those put forward</w:t>
      </w:r>
      <w:r w:rsidR="00A92F5C" w:rsidRPr="00565933">
        <w:rPr>
          <w:rFonts w:ascii="Arial" w:eastAsia="Calibri" w:hAnsi="Arial" w:cs="Arial"/>
          <w:sz w:val="24"/>
          <w:szCs w:val="24"/>
        </w:rPr>
        <w:t xml:space="preserve"> as</w:t>
      </w:r>
      <w:r w:rsidR="00861EBF" w:rsidRPr="00565933">
        <w:rPr>
          <w:rFonts w:ascii="Arial" w:eastAsia="Calibri" w:hAnsi="Arial" w:cs="Arial"/>
          <w:sz w:val="24"/>
          <w:szCs w:val="24"/>
        </w:rPr>
        <w:t xml:space="preserve"> I find t</w:t>
      </w:r>
      <w:r w:rsidR="00A92F5C" w:rsidRPr="00565933">
        <w:rPr>
          <w:rFonts w:ascii="Arial" w:eastAsia="Calibri" w:hAnsi="Arial" w:cs="Arial"/>
          <w:sz w:val="24"/>
          <w:szCs w:val="24"/>
        </w:rPr>
        <w:t xml:space="preserve">hat there </w:t>
      </w:r>
      <w:r w:rsidR="004E3697" w:rsidRPr="00565933">
        <w:rPr>
          <w:rFonts w:ascii="Arial" w:eastAsia="Calibri" w:hAnsi="Arial" w:cs="Arial"/>
          <w:sz w:val="24"/>
          <w:szCs w:val="24"/>
        </w:rPr>
        <w:t>was a</w:t>
      </w:r>
      <w:r w:rsidR="00A92F5C" w:rsidRPr="00565933">
        <w:rPr>
          <w:rFonts w:ascii="Arial" w:eastAsia="Calibri" w:hAnsi="Arial" w:cs="Arial"/>
          <w:sz w:val="24"/>
          <w:szCs w:val="24"/>
        </w:rPr>
        <w:t xml:space="preserve"> </w:t>
      </w:r>
      <w:r w:rsidR="00861EBF" w:rsidRPr="00565933">
        <w:rPr>
          <w:rFonts w:ascii="Arial" w:eastAsia="Calibri" w:hAnsi="Arial" w:cs="Arial"/>
          <w:sz w:val="24"/>
          <w:szCs w:val="24"/>
        </w:rPr>
        <w:t>legal error</w:t>
      </w:r>
      <w:r w:rsidR="004E3697" w:rsidRPr="00565933">
        <w:rPr>
          <w:rFonts w:ascii="Arial" w:eastAsia="Calibri" w:hAnsi="Arial" w:cs="Arial"/>
          <w:sz w:val="24"/>
          <w:szCs w:val="24"/>
        </w:rPr>
        <w:t xml:space="preserve"> </w:t>
      </w:r>
      <w:r w:rsidR="00861EBF" w:rsidRPr="00565933">
        <w:rPr>
          <w:rFonts w:ascii="Arial" w:eastAsia="Calibri" w:hAnsi="Arial" w:cs="Arial"/>
          <w:sz w:val="24"/>
          <w:szCs w:val="24"/>
        </w:rPr>
        <w:t>by the tribunal</w:t>
      </w:r>
      <w:r w:rsidR="004E3697" w:rsidRPr="00565933">
        <w:rPr>
          <w:rFonts w:ascii="Arial" w:eastAsia="Calibri" w:hAnsi="Arial" w:cs="Arial"/>
          <w:sz w:val="24"/>
          <w:szCs w:val="24"/>
        </w:rPr>
        <w:t xml:space="preserve"> that was material to the outcome; put another way, it was a mistake that mattered, at the end of the day</w:t>
      </w:r>
      <w:r w:rsidR="00861EBF" w:rsidRPr="00565933">
        <w:rPr>
          <w:rFonts w:ascii="Arial" w:eastAsia="Calibri" w:hAnsi="Arial" w:cs="Arial"/>
          <w:sz w:val="24"/>
          <w:szCs w:val="24"/>
        </w:rPr>
        <w:t>.</w:t>
      </w:r>
    </w:p>
    <w:p w14:paraId="5E8C49E2" w14:textId="785729C1" w:rsidR="00861EBF" w:rsidRPr="00BA015C" w:rsidRDefault="00861EBF" w:rsidP="009A52CF">
      <w:pPr>
        <w:tabs>
          <w:tab w:val="left" w:pos="510"/>
          <w:tab w:val="left" w:pos="1077"/>
          <w:tab w:val="left" w:pos="1797"/>
        </w:tabs>
        <w:spacing w:after="0" w:line="240" w:lineRule="auto"/>
        <w:contextualSpacing/>
        <w:rPr>
          <w:rFonts w:ascii="Arial" w:eastAsia="Calibri" w:hAnsi="Arial" w:cs="Arial"/>
          <w:bCs/>
          <w:sz w:val="24"/>
          <w:szCs w:val="24"/>
        </w:rPr>
      </w:pPr>
    </w:p>
    <w:p w14:paraId="5FCDDFBC" w14:textId="0A25A9A9" w:rsidR="0007503B" w:rsidRPr="00565933" w:rsidRDefault="00BA015C" w:rsidP="009A52CF">
      <w:pPr>
        <w:tabs>
          <w:tab w:val="left" w:pos="510"/>
          <w:tab w:val="left" w:pos="1077"/>
          <w:tab w:val="left" w:pos="1797"/>
        </w:tabs>
        <w:spacing w:after="0" w:line="240" w:lineRule="auto"/>
        <w:contextualSpacing/>
        <w:rPr>
          <w:rFonts w:ascii="Arial" w:eastAsia="Calibri" w:hAnsi="Arial" w:cs="Arial"/>
          <w:b/>
          <w:sz w:val="24"/>
          <w:szCs w:val="24"/>
        </w:rPr>
      </w:pPr>
      <w:r>
        <w:rPr>
          <w:rFonts w:ascii="Arial" w:eastAsia="Calibri" w:hAnsi="Arial" w:cs="Arial"/>
          <w:b/>
          <w:sz w:val="24"/>
          <w:szCs w:val="24"/>
        </w:rPr>
        <w:tab/>
      </w:r>
      <w:r w:rsidR="0007503B" w:rsidRPr="00565933">
        <w:rPr>
          <w:rFonts w:ascii="Arial" w:eastAsia="Calibri" w:hAnsi="Arial" w:cs="Arial"/>
          <w:b/>
          <w:sz w:val="24"/>
          <w:szCs w:val="24"/>
        </w:rPr>
        <w:t>The relevant legislation</w:t>
      </w:r>
      <w:r w:rsidR="001929A3" w:rsidRPr="00565933">
        <w:rPr>
          <w:rFonts w:ascii="Arial" w:eastAsia="Calibri" w:hAnsi="Arial" w:cs="Arial"/>
          <w:b/>
          <w:sz w:val="24"/>
          <w:szCs w:val="24"/>
        </w:rPr>
        <w:t xml:space="preserve"> and case law</w:t>
      </w:r>
    </w:p>
    <w:p w14:paraId="053E7BC0" w14:textId="77777777" w:rsidR="00BA015C" w:rsidRDefault="00BA015C" w:rsidP="009A52CF">
      <w:pPr>
        <w:tabs>
          <w:tab w:val="left" w:pos="510"/>
          <w:tab w:val="left" w:pos="1077"/>
          <w:tab w:val="left" w:pos="1797"/>
        </w:tabs>
        <w:spacing w:after="0" w:line="240" w:lineRule="auto"/>
        <w:contextualSpacing/>
        <w:rPr>
          <w:rFonts w:ascii="Arial" w:eastAsia="Calibri" w:hAnsi="Arial" w:cs="Arial"/>
          <w:sz w:val="24"/>
          <w:szCs w:val="24"/>
        </w:rPr>
      </w:pPr>
    </w:p>
    <w:p w14:paraId="780D198B" w14:textId="61EA6CFE" w:rsidR="0007503B" w:rsidRPr="00565933" w:rsidRDefault="00BA015C" w:rsidP="00BA015C">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15.</w:t>
      </w:r>
      <w:r>
        <w:rPr>
          <w:rFonts w:ascii="Arial" w:eastAsia="Calibri" w:hAnsi="Arial" w:cs="Arial"/>
          <w:sz w:val="24"/>
          <w:szCs w:val="24"/>
        </w:rPr>
        <w:tab/>
      </w:r>
      <w:r w:rsidR="0007503B" w:rsidRPr="00565933">
        <w:rPr>
          <w:rFonts w:ascii="Arial" w:eastAsia="Calibri" w:hAnsi="Arial" w:cs="Arial"/>
          <w:sz w:val="24"/>
          <w:szCs w:val="24"/>
        </w:rPr>
        <w:t>A tribunal need not consider all aspects of the decision before it: under Article 13(8)(a) of the Social Security (Northern Ireland) Order 1998, it need not investigate matters not raised by the appeal.</w:t>
      </w:r>
    </w:p>
    <w:p w14:paraId="064953E2" w14:textId="77777777" w:rsidR="00505050" w:rsidRPr="00565933" w:rsidRDefault="00505050" w:rsidP="00BA015C">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19B340E5" w14:textId="59298233" w:rsidR="001929A3" w:rsidRPr="00565933" w:rsidRDefault="00BA015C" w:rsidP="00BA015C">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lastRenderedPageBreak/>
        <w:t>16.</w:t>
      </w:r>
      <w:r>
        <w:rPr>
          <w:rFonts w:ascii="Arial" w:eastAsia="Calibri" w:hAnsi="Arial" w:cs="Arial"/>
          <w:sz w:val="24"/>
          <w:szCs w:val="24"/>
        </w:rPr>
        <w:tab/>
      </w:r>
      <w:r w:rsidR="00500DCF" w:rsidRPr="00565933">
        <w:rPr>
          <w:rFonts w:ascii="Arial" w:eastAsia="Calibri" w:hAnsi="Arial" w:cs="Arial"/>
          <w:sz w:val="24"/>
          <w:szCs w:val="24"/>
        </w:rPr>
        <w:t xml:space="preserve">In practical terms here that means it was not necessary </w:t>
      </w:r>
      <w:r w:rsidR="00006A17" w:rsidRPr="00565933">
        <w:rPr>
          <w:rFonts w:ascii="Arial" w:eastAsia="Calibri" w:hAnsi="Arial" w:cs="Arial"/>
          <w:sz w:val="24"/>
          <w:szCs w:val="24"/>
        </w:rPr>
        <w:t>for</w:t>
      </w:r>
      <w:r w:rsidR="00500DCF" w:rsidRPr="00565933">
        <w:rPr>
          <w:rFonts w:ascii="Arial" w:eastAsia="Calibri" w:hAnsi="Arial" w:cs="Arial"/>
          <w:sz w:val="24"/>
          <w:szCs w:val="24"/>
        </w:rPr>
        <w:t xml:space="preserve"> the </w:t>
      </w:r>
      <w:r w:rsidR="00006A17" w:rsidRPr="00565933">
        <w:rPr>
          <w:rFonts w:ascii="Arial" w:eastAsia="Calibri" w:hAnsi="Arial" w:cs="Arial"/>
          <w:sz w:val="24"/>
          <w:szCs w:val="24"/>
        </w:rPr>
        <w:t>tribunal to consider the mobility component if the appellant was</w:t>
      </w:r>
      <w:r w:rsidR="00790392" w:rsidRPr="00565933">
        <w:rPr>
          <w:rFonts w:ascii="Arial" w:eastAsia="Calibri" w:hAnsi="Arial" w:cs="Arial"/>
          <w:sz w:val="24"/>
          <w:szCs w:val="24"/>
        </w:rPr>
        <w:t xml:space="preserve"> </w:t>
      </w:r>
      <w:r w:rsidR="00006A17" w:rsidRPr="00565933">
        <w:rPr>
          <w:rFonts w:ascii="Arial" w:eastAsia="Calibri" w:hAnsi="Arial" w:cs="Arial"/>
          <w:sz w:val="24"/>
          <w:szCs w:val="24"/>
        </w:rPr>
        <w:t>n</w:t>
      </w:r>
      <w:r w:rsidR="00790392" w:rsidRPr="00565933">
        <w:rPr>
          <w:rFonts w:ascii="Arial" w:eastAsia="Calibri" w:hAnsi="Arial" w:cs="Arial"/>
          <w:sz w:val="24"/>
          <w:szCs w:val="24"/>
        </w:rPr>
        <w:t>o</w:t>
      </w:r>
      <w:r w:rsidR="00006A17" w:rsidRPr="00565933">
        <w:rPr>
          <w:rFonts w:ascii="Arial" w:eastAsia="Calibri" w:hAnsi="Arial" w:cs="Arial"/>
          <w:sz w:val="24"/>
          <w:szCs w:val="24"/>
        </w:rPr>
        <w:t xml:space="preserve">t asking </w:t>
      </w:r>
      <w:r w:rsidR="004E3697" w:rsidRPr="00565933">
        <w:rPr>
          <w:rFonts w:ascii="Arial" w:eastAsia="Calibri" w:hAnsi="Arial" w:cs="Arial"/>
          <w:sz w:val="24"/>
          <w:szCs w:val="24"/>
        </w:rPr>
        <w:t>it to,</w:t>
      </w:r>
      <w:r w:rsidR="00D63ADD" w:rsidRPr="00565933">
        <w:rPr>
          <w:rFonts w:ascii="Arial" w:eastAsia="Calibri" w:hAnsi="Arial" w:cs="Arial"/>
          <w:sz w:val="24"/>
          <w:szCs w:val="24"/>
        </w:rPr>
        <w:t xml:space="preserve"> although it </w:t>
      </w:r>
      <w:r w:rsidR="00E750A5" w:rsidRPr="00565933">
        <w:rPr>
          <w:rFonts w:ascii="Arial" w:eastAsia="Calibri" w:hAnsi="Arial" w:cs="Arial"/>
          <w:sz w:val="24"/>
          <w:szCs w:val="24"/>
        </w:rPr>
        <w:t xml:space="preserve">has the power to </w:t>
      </w:r>
      <w:r w:rsidR="00D63ADD" w:rsidRPr="00565933">
        <w:rPr>
          <w:rFonts w:ascii="Arial" w:eastAsia="Calibri" w:hAnsi="Arial" w:cs="Arial"/>
          <w:sz w:val="24"/>
          <w:szCs w:val="24"/>
        </w:rPr>
        <w:t>do so if it thinks it appropriate.  If it chooses to look at a component or descriptor not in dispute</w:t>
      </w:r>
      <w:r w:rsidR="00FE2E65" w:rsidRPr="00565933">
        <w:rPr>
          <w:rFonts w:ascii="Arial" w:eastAsia="Calibri" w:hAnsi="Arial" w:cs="Arial"/>
          <w:sz w:val="24"/>
          <w:szCs w:val="24"/>
        </w:rPr>
        <w:t xml:space="preserve"> it may, and it is entitled to make a decision less favourable to the claimant than that of the department; however, before it does so</w:t>
      </w:r>
      <w:r w:rsidR="00D63ADD" w:rsidRPr="00565933">
        <w:rPr>
          <w:rFonts w:ascii="Arial" w:eastAsia="Calibri" w:hAnsi="Arial" w:cs="Arial"/>
          <w:sz w:val="24"/>
          <w:szCs w:val="24"/>
        </w:rPr>
        <w:t xml:space="preserve"> there are certain procedural safeguards that it must follow</w:t>
      </w:r>
      <w:r w:rsidR="003823DE" w:rsidRPr="00565933">
        <w:rPr>
          <w:rFonts w:ascii="Arial" w:eastAsia="Calibri" w:hAnsi="Arial" w:cs="Arial"/>
          <w:sz w:val="24"/>
          <w:szCs w:val="24"/>
        </w:rPr>
        <w:t>.</w:t>
      </w:r>
    </w:p>
    <w:p w14:paraId="6189ED2A" w14:textId="77777777" w:rsidR="00505050" w:rsidRPr="00565933" w:rsidRDefault="00505050" w:rsidP="00BA015C">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1003AC34" w14:textId="27D30BA7" w:rsidR="001929A3" w:rsidRPr="00565933" w:rsidRDefault="00BA015C" w:rsidP="00BA015C">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17.</w:t>
      </w:r>
      <w:r>
        <w:rPr>
          <w:rFonts w:ascii="Arial" w:eastAsia="Calibri" w:hAnsi="Arial" w:cs="Arial"/>
          <w:sz w:val="24"/>
          <w:szCs w:val="24"/>
        </w:rPr>
        <w:tab/>
      </w:r>
      <w:r w:rsidR="00D63ADD" w:rsidRPr="00565933">
        <w:rPr>
          <w:rFonts w:ascii="Arial" w:eastAsia="Calibri" w:hAnsi="Arial" w:cs="Arial"/>
          <w:sz w:val="24"/>
          <w:szCs w:val="24"/>
        </w:rPr>
        <w:t>These have been established by case la</w:t>
      </w:r>
      <w:r w:rsidR="00FE2E65" w:rsidRPr="00565933">
        <w:rPr>
          <w:rFonts w:ascii="Arial" w:eastAsia="Calibri" w:hAnsi="Arial" w:cs="Arial"/>
          <w:sz w:val="24"/>
          <w:szCs w:val="24"/>
        </w:rPr>
        <w:t xml:space="preserve">w, pertinently a case cited by Mr Clements in which the various safeguarding principles are set out by Mr (now Chief) Commissioner Mullan, </w:t>
      </w:r>
      <w:r w:rsidR="00FE2E65" w:rsidRPr="00565933">
        <w:rPr>
          <w:rFonts w:ascii="Arial" w:eastAsia="Calibri" w:hAnsi="Arial" w:cs="Arial"/>
          <w:i/>
          <w:iCs/>
          <w:sz w:val="24"/>
          <w:szCs w:val="24"/>
        </w:rPr>
        <w:t>C15/08-09 (DLA)</w:t>
      </w:r>
      <w:r w:rsidR="00FE2E65" w:rsidRPr="00565933">
        <w:rPr>
          <w:rFonts w:ascii="Arial" w:eastAsia="Calibri" w:hAnsi="Arial" w:cs="Arial"/>
          <w:sz w:val="24"/>
          <w:szCs w:val="24"/>
        </w:rPr>
        <w:t>.</w:t>
      </w:r>
      <w:r w:rsidR="001929A3" w:rsidRPr="00565933">
        <w:rPr>
          <w:rFonts w:ascii="Arial" w:eastAsia="Calibri" w:hAnsi="Arial" w:cs="Arial"/>
          <w:sz w:val="24"/>
          <w:szCs w:val="24"/>
        </w:rPr>
        <w:t xml:space="preserve"> Further, in</w:t>
      </w:r>
      <w:r w:rsidR="001929A3" w:rsidRPr="00565933">
        <w:rPr>
          <w:rFonts w:ascii="Arial" w:eastAsia="Calibri" w:hAnsi="Arial" w:cs="Arial"/>
          <w:i/>
          <w:iCs/>
          <w:sz w:val="24"/>
          <w:szCs w:val="24"/>
        </w:rPr>
        <w:t xml:space="preserve"> DM v Department for Social Development (DLA) </w:t>
      </w:r>
      <w:r w:rsidR="001929A3" w:rsidRPr="00565933">
        <w:rPr>
          <w:rFonts w:ascii="Arial" w:eastAsia="Calibri" w:hAnsi="Arial" w:cs="Arial"/>
          <w:sz w:val="24"/>
          <w:szCs w:val="24"/>
        </w:rPr>
        <w:t>[2010] NICom 335</w:t>
      </w:r>
      <w:r w:rsidR="00FE2E65" w:rsidRPr="00565933">
        <w:rPr>
          <w:rFonts w:ascii="Arial" w:eastAsia="Calibri" w:hAnsi="Arial" w:cs="Arial"/>
          <w:sz w:val="24"/>
          <w:szCs w:val="24"/>
        </w:rPr>
        <w:t xml:space="preserve"> Mr Commissioner Stockman made plain the importance of the duty to give an appellant notice of a tribunal’s intention to make a less favourable award; </w:t>
      </w:r>
      <w:r w:rsidR="00E750A5" w:rsidRPr="00565933">
        <w:rPr>
          <w:rFonts w:ascii="Arial" w:eastAsia="Calibri" w:hAnsi="Arial" w:cs="Arial"/>
          <w:sz w:val="24"/>
          <w:szCs w:val="24"/>
        </w:rPr>
        <w:t xml:space="preserve">that notice, (or I might say warning) </w:t>
      </w:r>
      <w:r w:rsidR="00FE2E65" w:rsidRPr="00565933">
        <w:rPr>
          <w:rFonts w:ascii="Arial" w:eastAsia="Calibri" w:hAnsi="Arial" w:cs="Arial"/>
          <w:sz w:val="24"/>
          <w:szCs w:val="24"/>
        </w:rPr>
        <w:t xml:space="preserve">needs to be sufficient to allow an appellant the opportunity to consider whether they require an adjournment to provide further evidence on the issue, or whether they might wish to withdraw the appeal. </w:t>
      </w:r>
      <w:r>
        <w:rPr>
          <w:rFonts w:ascii="Arial" w:eastAsia="Calibri" w:hAnsi="Arial" w:cs="Arial"/>
          <w:sz w:val="24"/>
          <w:szCs w:val="24"/>
        </w:rPr>
        <w:t xml:space="preserve"> </w:t>
      </w:r>
      <w:r w:rsidR="00FE2E65" w:rsidRPr="00565933">
        <w:rPr>
          <w:rFonts w:ascii="Arial" w:eastAsia="Calibri" w:hAnsi="Arial" w:cs="Arial"/>
          <w:sz w:val="24"/>
          <w:szCs w:val="24"/>
        </w:rPr>
        <w:t xml:space="preserve">In </w:t>
      </w:r>
      <w:r w:rsidR="00FE2E65" w:rsidRPr="00565933">
        <w:rPr>
          <w:rFonts w:ascii="Arial" w:eastAsia="Calibri" w:hAnsi="Arial" w:cs="Arial"/>
          <w:i/>
          <w:iCs/>
          <w:sz w:val="24"/>
          <w:szCs w:val="24"/>
        </w:rPr>
        <w:t>DP v Department for Communities (PIP)</w:t>
      </w:r>
      <w:r w:rsidR="00FE2E65" w:rsidRPr="00565933">
        <w:rPr>
          <w:rFonts w:ascii="Arial" w:eastAsia="Calibri" w:hAnsi="Arial" w:cs="Arial"/>
          <w:sz w:val="24"/>
          <w:szCs w:val="24"/>
        </w:rPr>
        <w:t xml:space="preserve"> </w:t>
      </w:r>
      <w:r w:rsidR="001929A3" w:rsidRPr="00565933">
        <w:rPr>
          <w:rFonts w:ascii="Arial" w:eastAsia="Calibri" w:hAnsi="Arial" w:cs="Arial"/>
          <w:sz w:val="24"/>
          <w:szCs w:val="24"/>
        </w:rPr>
        <w:t>[2020] NICom 1 the Chief Commissioner confirmed that the principles set out in these two cases apply also to those where the PIP is being considered.</w:t>
      </w:r>
    </w:p>
    <w:p w14:paraId="04FAD46E" w14:textId="77777777" w:rsidR="00505050" w:rsidRPr="00565933" w:rsidRDefault="00505050" w:rsidP="00BA015C">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280F5F6A" w14:textId="4F02DB58" w:rsidR="000F3C87" w:rsidRPr="00565933" w:rsidRDefault="00BA015C" w:rsidP="00BA015C">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18.</w:t>
      </w:r>
      <w:r>
        <w:rPr>
          <w:rFonts w:ascii="Arial" w:eastAsia="Calibri" w:hAnsi="Arial" w:cs="Arial"/>
          <w:sz w:val="24"/>
          <w:szCs w:val="24"/>
        </w:rPr>
        <w:tab/>
      </w:r>
      <w:r w:rsidR="000F3C87" w:rsidRPr="00565933">
        <w:rPr>
          <w:rFonts w:ascii="Arial" w:eastAsia="Calibri" w:hAnsi="Arial" w:cs="Arial"/>
          <w:sz w:val="24"/>
          <w:szCs w:val="24"/>
        </w:rPr>
        <w:t xml:space="preserve">I would </w:t>
      </w:r>
      <w:r w:rsidR="00E750A5" w:rsidRPr="00565933">
        <w:rPr>
          <w:rFonts w:ascii="Arial" w:eastAsia="Calibri" w:hAnsi="Arial" w:cs="Arial"/>
          <w:sz w:val="24"/>
          <w:szCs w:val="24"/>
        </w:rPr>
        <w:t>stress</w:t>
      </w:r>
      <w:r w:rsidR="000F3C87" w:rsidRPr="00565933">
        <w:rPr>
          <w:rFonts w:ascii="Arial" w:eastAsia="Calibri" w:hAnsi="Arial" w:cs="Arial"/>
          <w:sz w:val="24"/>
          <w:szCs w:val="24"/>
        </w:rPr>
        <w:t xml:space="preserve"> here that these principles, which are about basic fairness, must apply with particular rigour where an appellant is not represented by a lawyer or other person familiar with this legal area</w:t>
      </w:r>
      <w:r w:rsidR="003823DE" w:rsidRPr="00565933">
        <w:rPr>
          <w:rFonts w:ascii="Arial" w:eastAsia="Calibri" w:hAnsi="Arial" w:cs="Arial"/>
          <w:sz w:val="24"/>
          <w:szCs w:val="24"/>
        </w:rPr>
        <w:t xml:space="preserve">. </w:t>
      </w:r>
      <w:r>
        <w:rPr>
          <w:rFonts w:ascii="Arial" w:eastAsia="Calibri" w:hAnsi="Arial" w:cs="Arial"/>
          <w:sz w:val="24"/>
          <w:szCs w:val="24"/>
        </w:rPr>
        <w:t xml:space="preserve"> </w:t>
      </w:r>
      <w:r w:rsidR="000F3C87" w:rsidRPr="00565933">
        <w:rPr>
          <w:rFonts w:ascii="Arial" w:eastAsia="Calibri" w:hAnsi="Arial" w:cs="Arial"/>
          <w:sz w:val="24"/>
          <w:szCs w:val="24"/>
        </w:rPr>
        <w:t>That an appellant positively indicate</w:t>
      </w:r>
      <w:r w:rsidR="00E750A5" w:rsidRPr="00565933">
        <w:rPr>
          <w:rFonts w:ascii="Arial" w:eastAsia="Calibri" w:hAnsi="Arial" w:cs="Arial"/>
          <w:sz w:val="24"/>
          <w:szCs w:val="24"/>
        </w:rPr>
        <w:t xml:space="preserve">s </w:t>
      </w:r>
      <w:r w:rsidR="000F3C87" w:rsidRPr="00565933">
        <w:rPr>
          <w:rFonts w:ascii="Arial" w:eastAsia="Calibri" w:hAnsi="Arial" w:cs="Arial"/>
          <w:sz w:val="24"/>
          <w:szCs w:val="24"/>
        </w:rPr>
        <w:t xml:space="preserve">in a form provided by </w:t>
      </w:r>
      <w:r w:rsidR="00790392" w:rsidRPr="00565933">
        <w:rPr>
          <w:rFonts w:ascii="Arial" w:eastAsia="Calibri" w:hAnsi="Arial" w:cs="Arial"/>
          <w:sz w:val="24"/>
          <w:szCs w:val="24"/>
        </w:rPr>
        <w:t>TAS</w:t>
      </w:r>
      <w:r w:rsidR="000F3C87" w:rsidRPr="00565933">
        <w:rPr>
          <w:rFonts w:ascii="Arial" w:eastAsia="Calibri" w:hAnsi="Arial" w:cs="Arial"/>
          <w:sz w:val="24"/>
          <w:szCs w:val="24"/>
        </w:rPr>
        <w:t xml:space="preserve"> that they have received </w:t>
      </w:r>
      <w:r w:rsidR="00E750A5" w:rsidRPr="00565933">
        <w:rPr>
          <w:rFonts w:ascii="Arial" w:eastAsia="Calibri" w:hAnsi="Arial" w:cs="Arial"/>
          <w:sz w:val="24"/>
          <w:szCs w:val="24"/>
        </w:rPr>
        <w:t>a</w:t>
      </w:r>
      <w:r w:rsidR="000F3C87" w:rsidRPr="00565933">
        <w:rPr>
          <w:rFonts w:ascii="Arial" w:eastAsia="Calibri" w:hAnsi="Arial" w:cs="Arial"/>
          <w:sz w:val="24"/>
          <w:szCs w:val="24"/>
        </w:rPr>
        <w:t xml:space="preserve"> document setting out the powers of the </w:t>
      </w:r>
      <w:r w:rsidR="00F84C02" w:rsidRPr="00565933">
        <w:rPr>
          <w:rFonts w:ascii="Arial" w:eastAsia="Calibri" w:hAnsi="Arial" w:cs="Arial"/>
          <w:sz w:val="24"/>
          <w:szCs w:val="24"/>
        </w:rPr>
        <w:t>tribunal and</w:t>
      </w:r>
      <w:r w:rsidR="000F3C87" w:rsidRPr="00565933">
        <w:rPr>
          <w:rFonts w:ascii="Arial" w:eastAsia="Calibri" w:hAnsi="Arial" w:cs="Arial"/>
          <w:sz w:val="24"/>
          <w:szCs w:val="24"/>
        </w:rPr>
        <w:t xml:space="preserve"> wish to continue with the appeal with knowledge of the tribunal’s powers in </w:t>
      </w:r>
      <w:r w:rsidR="00505050" w:rsidRPr="00565933">
        <w:rPr>
          <w:rFonts w:ascii="Arial" w:eastAsia="Calibri" w:hAnsi="Arial" w:cs="Arial"/>
          <w:sz w:val="24"/>
          <w:szCs w:val="24"/>
        </w:rPr>
        <w:t>relation to</w:t>
      </w:r>
      <w:r w:rsidR="000F3C87" w:rsidRPr="00565933">
        <w:rPr>
          <w:rFonts w:ascii="Arial" w:eastAsia="Calibri" w:hAnsi="Arial" w:cs="Arial"/>
          <w:sz w:val="24"/>
          <w:szCs w:val="24"/>
        </w:rPr>
        <w:t xml:space="preserve"> an existing award does not extinguish the duty on the tribunal to explain the risk to them.</w:t>
      </w:r>
    </w:p>
    <w:p w14:paraId="5C8A8277" w14:textId="77777777" w:rsidR="00505050" w:rsidRPr="00565933" w:rsidRDefault="00505050" w:rsidP="00BA015C">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5DD248AE" w14:textId="2788A7B1" w:rsidR="009F6D3B" w:rsidRPr="00565933" w:rsidRDefault="00BA015C" w:rsidP="00BA015C">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19.</w:t>
      </w:r>
      <w:r>
        <w:rPr>
          <w:rFonts w:ascii="Arial" w:eastAsia="Calibri" w:hAnsi="Arial" w:cs="Arial"/>
          <w:sz w:val="24"/>
          <w:szCs w:val="24"/>
        </w:rPr>
        <w:tab/>
      </w:r>
      <w:r w:rsidR="00D63ADD" w:rsidRPr="00565933">
        <w:rPr>
          <w:rFonts w:ascii="Arial" w:eastAsia="Calibri" w:hAnsi="Arial" w:cs="Arial"/>
          <w:sz w:val="24"/>
          <w:szCs w:val="24"/>
        </w:rPr>
        <w:t>As to whether the mobility component was in dispute before the</w:t>
      </w:r>
      <w:r w:rsidR="001929A3" w:rsidRPr="00565933">
        <w:rPr>
          <w:rFonts w:ascii="Arial" w:eastAsia="Calibri" w:hAnsi="Arial" w:cs="Arial"/>
          <w:sz w:val="24"/>
          <w:szCs w:val="24"/>
        </w:rPr>
        <w:t xml:space="preserve"> Belfast</w:t>
      </w:r>
      <w:r w:rsidR="00D63ADD" w:rsidRPr="00565933">
        <w:rPr>
          <w:rFonts w:ascii="Arial" w:eastAsia="Calibri" w:hAnsi="Arial" w:cs="Arial"/>
          <w:sz w:val="24"/>
          <w:szCs w:val="24"/>
        </w:rPr>
        <w:t xml:space="preserve"> tribunal, </w:t>
      </w:r>
      <w:r w:rsidR="00006A17" w:rsidRPr="00565933">
        <w:rPr>
          <w:rFonts w:ascii="Arial" w:eastAsia="Calibri" w:hAnsi="Arial" w:cs="Arial"/>
          <w:sz w:val="24"/>
          <w:szCs w:val="24"/>
        </w:rPr>
        <w:t xml:space="preserve">Mr Clements points out that there is a mention in the record of proceedings that </w:t>
      </w:r>
      <w:r w:rsidR="00D63ADD" w:rsidRPr="00565933">
        <w:rPr>
          <w:rFonts w:ascii="Arial" w:eastAsia="Calibri" w:hAnsi="Arial" w:cs="Arial"/>
          <w:sz w:val="24"/>
          <w:szCs w:val="24"/>
        </w:rPr>
        <w:t>the appellant</w:t>
      </w:r>
      <w:r w:rsidR="00006A17" w:rsidRPr="00565933">
        <w:rPr>
          <w:rFonts w:ascii="Arial" w:eastAsia="Calibri" w:hAnsi="Arial" w:cs="Arial"/>
          <w:sz w:val="24"/>
          <w:szCs w:val="24"/>
        </w:rPr>
        <w:t xml:space="preserve"> did want it considered,</w:t>
      </w:r>
      <w:r w:rsidR="00D63ADD" w:rsidRPr="00565933">
        <w:rPr>
          <w:rFonts w:ascii="Arial" w:eastAsia="Calibri" w:hAnsi="Arial" w:cs="Arial"/>
          <w:sz w:val="24"/>
          <w:szCs w:val="24"/>
        </w:rPr>
        <w:t xml:space="preserve"> but</w:t>
      </w:r>
      <w:r w:rsidR="00006A17" w:rsidRPr="00565933">
        <w:rPr>
          <w:rFonts w:ascii="Arial" w:eastAsia="Calibri" w:hAnsi="Arial" w:cs="Arial"/>
          <w:sz w:val="24"/>
          <w:szCs w:val="24"/>
        </w:rPr>
        <w:t xml:space="preserve"> she is adamant </w:t>
      </w:r>
      <w:r w:rsidR="00D63ADD" w:rsidRPr="00565933">
        <w:rPr>
          <w:rFonts w:ascii="Arial" w:eastAsia="Calibri" w:hAnsi="Arial" w:cs="Arial"/>
          <w:sz w:val="24"/>
          <w:szCs w:val="24"/>
        </w:rPr>
        <w:t>that she was content with the standard rate award</w:t>
      </w:r>
      <w:r w:rsidR="009F6D3B" w:rsidRPr="00565933">
        <w:rPr>
          <w:rFonts w:ascii="Arial" w:eastAsia="Calibri" w:hAnsi="Arial" w:cs="Arial"/>
          <w:sz w:val="24"/>
          <w:szCs w:val="24"/>
        </w:rPr>
        <w:t>.</w:t>
      </w:r>
    </w:p>
    <w:p w14:paraId="01225765" w14:textId="2DFAEFD8" w:rsidR="00D63ADD" w:rsidRPr="00565933" w:rsidRDefault="00D63ADD" w:rsidP="009A52CF">
      <w:pPr>
        <w:tabs>
          <w:tab w:val="left" w:pos="510"/>
          <w:tab w:val="left" w:pos="1077"/>
          <w:tab w:val="left" w:pos="1797"/>
        </w:tabs>
        <w:spacing w:after="0" w:line="240" w:lineRule="auto"/>
        <w:contextualSpacing/>
        <w:rPr>
          <w:rFonts w:ascii="Arial" w:eastAsia="Calibri" w:hAnsi="Arial" w:cs="Arial"/>
          <w:sz w:val="24"/>
          <w:szCs w:val="24"/>
        </w:rPr>
      </w:pPr>
    </w:p>
    <w:p w14:paraId="4C75420A" w14:textId="0ECFF1D6" w:rsidR="00D63ADD" w:rsidRPr="00565933" w:rsidRDefault="009F15E2" w:rsidP="009A52CF">
      <w:pPr>
        <w:tabs>
          <w:tab w:val="left" w:pos="510"/>
          <w:tab w:val="left" w:pos="1077"/>
          <w:tab w:val="left" w:pos="1797"/>
        </w:tabs>
        <w:spacing w:after="0" w:line="240" w:lineRule="auto"/>
        <w:contextualSpacing/>
        <w:rPr>
          <w:rFonts w:ascii="Arial" w:eastAsia="Calibri" w:hAnsi="Arial" w:cs="Arial"/>
          <w:b/>
          <w:bCs/>
          <w:sz w:val="24"/>
          <w:szCs w:val="24"/>
        </w:rPr>
      </w:pPr>
      <w:r>
        <w:rPr>
          <w:rFonts w:ascii="Arial" w:eastAsia="Calibri" w:hAnsi="Arial" w:cs="Arial"/>
          <w:b/>
          <w:bCs/>
          <w:sz w:val="24"/>
          <w:szCs w:val="24"/>
        </w:rPr>
        <w:tab/>
      </w:r>
      <w:r w:rsidR="00D63ADD" w:rsidRPr="00565933">
        <w:rPr>
          <w:rFonts w:ascii="Arial" w:eastAsia="Calibri" w:hAnsi="Arial" w:cs="Arial"/>
          <w:b/>
          <w:bCs/>
          <w:sz w:val="24"/>
          <w:szCs w:val="24"/>
        </w:rPr>
        <w:t>The error of law here</w:t>
      </w:r>
    </w:p>
    <w:p w14:paraId="0C1F40DA" w14:textId="5BA24BF4" w:rsidR="00FE2E65" w:rsidRPr="00565933" w:rsidRDefault="00FE2E65" w:rsidP="009A52CF">
      <w:pPr>
        <w:tabs>
          <w:tab w:val="left" w:pos="510"/>
          <w:tab w:val="left" w:pos="1077"/>
          <w:tab w:val="left" w:pos="1797"/>
        </w:tabs>
        <w:spacing w:after="0" w:line="240" w:lineRule="auto"/>
        <w:contextualSpacing/>
        <w:rPr>
          <w:rFonts w:ascii="Arial" w:eastAsia="Calibri" w:hAnsi="Arial" w:cs="Arial"/>
          <w:sz w:val="24"/>
          <w:szCs w:val="24"/>
        </w:rPr>
      </w:pPr>
    </w:p>
    <w:p w14:paraId="7EA1A710" w14:textId="6AA09FEF" w:rsidR="006F2B8D" w:rsidRPr="00565933" w:rsidRDefault="002E2CA3"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20.</w:t>
      </w:r>
      <w:r>
        <w:rPr>
          <w:rFonts w:ascii="Arial" w:eastAsia="Calibri" w:hAnsi="Arial" w:cs="Arial"/>
          <w:sz w:val="24"/>
          <w:szCs w:val="24"/>
        </w:rPr>
        <w:tab/>
      </w:r>
      <w:r w:rsidR="00E750A5" w:rsidRPr="00565933">
        <w:rPr>
          <w:rFonts w:ascii="Arial" w:eastAsia="Calibri" w:hAnsi="Arial" w:cs="Arial"/>
          <w:sz w:val="24"/>
          <w:szCs w:val="24"/>
        </w:rPr>
        <w:t xml:space="preserve">That single </w:t>
      </w:r>
      <w:r w:rsidR="00006A17" w:rsidRPr="00565933">
        <w:rPr>
          <w:rFonts w:ascii="Arial" w:eastAsia="Calibri" w:hAnsi="Arial" w:cs="Arial"/>
          <w:sz w:val="24"/>
          <w:szCs w:val="24"/>
        </w:rPr>
        <w:t>comment</w:t>
      </w:r>
      <w:r w:rsidR="00E750A5" w:rsidRPr="00565933">
        <w:rPr>
          <w:rFonts w:ascii="Arial" w:eastAsia="Calibri" w:hAnsi="Arial" w:cs="Arial"/>
          <w:sz w:val="24"/>
          <w:szCs w:val="24"/>
        </w:rPr>
        <w:t xml:space="preserve"> is the only reference to the issue</w:t>
      </w:r>
      <w:r w:rsidR="003823DE" w:rsidRPr="00565933">
        <w:rPr>
          <w:rFonts w:ascii="Arial" w:eastAsia="Calibri" w:hAnsi="Arial" w:cs="Arial"/>
          <w:sz w:val="24"/>
          <w:szCs w:val="24"/>
        </w:rPr>
        <w:t xml:space="preserve">. </w:t>
      </w:r>
      <w:r>
        <w:rPr>
          <w:rFonts w:ascii="Arial" w:eastAsia="Calibri" w:hAnsi="Arial" w:cs="Arial"/>
          <w:sz w:val="24"/>
          <w:szCs w:val="24"/>
        </w:rPr>
        <w:t xml:space="preserve"> </w:t>
      </w:r>
      <w:r w:rsidR="00E750A5" w:rsidRPr="00565933">
        <w:rPr>
          <w:rFonts w:ascii="Arial" w:eastAsia="Calibri" w:hAnsi="Arial" w:cs="Arial"/>
          <w:sz w:val="24"/>
          <w:szCs w:val="24"/>
        </w:rPr>
        <w:t>There is nothing</w:t>
      </w:r>
      <w:r w:rsidR="00006A17" w:rsidRPr="00565933">
        <w:rPr>
          <w:rFonts w:ascii="Arial" w:eastAsia="Calibri" w:hAnsi="Arial" w:cs="Arial"/>
          <w:sz w:val="24"/>
          <w:szCs w:val="24"/>
        </w:rPr>
        <w:t xml:space="preserve"> to indicate that</w:t>
      </w:r>
      <w:r w:rsidR="00D63ADD" w:rsidRPr="00565933">
        <w:rPr>
          <w:rFonts w:ascii="Arial" w:eastAsia="Calibri" w:hAnsi="Arial" w:cs="Arial"/>
          <w:sz w:val="24"/>
          <w:szCs w:val="24"/>
        </w:rPr>
        <w:t xml:space="preserve"> during the hearing the appellant</w:t>
      </w:r>
      <w:r w:rsidR="00006A17" w:rsidRPr="00565933">
        <w:rPr>
          <w:rFonts w:ascii="Arial" w:eastAsia="Calibri" w:hAnsi="Arial" w:cs="Arial"/>
          <w:sz w:val="24"/>
          <w:szCs w:val="24"/>
        </w:rPr>
        <w:t xml:space="preserve"> was asked about matters that would be pertinent to</w:t>
      </w:r>
      <w:r w:rsidR="00D63ADD" w:rsidRPr="00565933">
        <w:rPr>
          <w:rFonts w:ascii="Arial" w:eastAsia="Calibri" w:hAnsi="Arial" w:cs="Arial"/>
          <w:sz w:val="24"/>
          <w:szCs w:val="24"/>
        </w:rPr>
        <w:t xml:space="preserve"> her having said she wanted the higher rate of the mobility component to be considered</w:t>
      </w:r>
      <w:r w:rsidR="003823DE" w:rsidRPr="00565933">
        <w:rPr>
          <w:rFonts w:ascii="Arial" w:eastAsia="Calibri" w:hAnsi="Arial" w:cs="Arial"/>
          <w:sz w:val="24"/>
          <w:szCs w:val="24"/>
        </w:rPr>
        <w:t xml:space="preserve">. </w:t>
      </w:r>
      <w:r>
        <w:rPr>
          <w:rFonts w:ascii="Arial" w:eastAsia="Calibri" w:hAnsi="Arial" w:cs="Arial"/>
          <w:sz w:val="24"/>
          <w:szCs w:val="24"/>
        </w:rPr>
        <w:t xml:space="preserve"> </w:t>
      </w:r>
      <w:r w:rsidR="00006A17" w:rsidRPr="00565933">
        <w:rPr>
          <w:rFonts w:ascii="Arial" w:eastAsia="Calibri" w:hAnsi="Arial" w:cs="Arial"/>
          <w:sz w:val="24"/>
          <w:szCs w:val="24"/>
        </w:rPr>
        <w:t xml:space="preserve">The comment </w:t>
      </w:r>
      <w:r w:rsidR="00D63ADD" w:rsidRPr="00565933">
        <w:rPr>
          <w:rFonts w:ascii="Arial" w:eastAsia="Calibri" w:hAnsi="Arial" w:cs="Arial"/>
          <w:sz w:val="24"/>
          <w:szCs w:val="24"/>
        </w:rPr>
        <w:t xml:space="preserve">relied upon as to her saying that </w:t>
      </w:r>
      <w:r w:rsidR="009F6D3B" w:rsidRPr="00565933">
        <w:rPr>
          <w:rFonts w:ascii="Arial" w:eastAsia="Calibri" w:hAnsi="Arial" w:cs="Arial"/>
          <w:sz w:val="24"/>
          <w:szCs w:val="24"/>
        </w:rPr>
        <w:t xml:space="preserve">appears to me to be part of a generic point that is being made, and the record and statement contains a number of what appear to be stock paragraphs regarding procedural issues. </w:t>
      </w:r>
      <w:r>
        <w:rPr>
          <w:rFonts w:ascii="Arial" w:eastAsia="Calibri" w:hAnsi="Arial" w:cs="Arial"/>
          <w:sz w:val="24"/>
          <w:szCs w:val="24"/>
        </w:rPr>
        <w:t xml:space="preserve"> </w:t>
      </w:r>
      <w:r w:rsidR="006F2B8D" w:rsidRPr="00565933">
        <w:rPr>
          <w:rFonts w:ascii="Arial" w:eastAsia="Calibri" w:hAnsi="Arial" w:cs="Arial"/>
          <w:sz w:val="24"/>
          <w:szCs w:val="24"/>
        </w:rPr>
        <w:t>This particular sentence jars as out of context without some relevant questioning on the issue</w:t>
      </w:r>
      <w:r w:rsidR="00D63ADD" w:rsidRPr="00565933">
        <w:rPr>
          <w:rFonts w:ascii="Arial" w:eastAsia="Calibri" w:hAnsi="Arial" w:cs="Arial"/>
          <w:sz w:val="24"/>
          <w:szCs w:val="24"/>
        </w:rPr>
        <w:t>, and</w:t>
      </w:r>
      <w:r w:rsidR="006F2B8D" w:rsidRPr="00565933">
        <w:rPr>
          <w:rFonts w:ascii="Arial" w:eastAsia="Calibri" w:hAnsi="Arial" w:cs="Arial"/>
          <w:sz w:val="24"/>
          <w:szCs w:val="24"/>
        </w:rPr>
        <w:t xml:space="preserve"> I cannot rule out </w:t>
      </w:r>
      <w:r w:rsidR="00D63ADD" w:rsidRPr="00565933">
        <w:rPr>
          <w:rFonts w:ascii="Arial" w:eastAsia="Calibri" w:hAnsi="Arial" w:cs="Arial"/>
          <w:sz w:val="24"/>
          <w:szCs w:val="24"/>
        </w:rPr>
        <w:t xml:space="preserve">the comment being part of </w:t>
      </w:r>
      <w:r w:rsidR="006F2B8D" w:rsidRPr="00565933">
        <w:rPr>
          <w:rFonts w:ascii="Arial" w:eastAsia="Calibri" w:hAnsi="Arial" w:cs="Arial"/>
          <w:sz w:val="24"/>
          <w:szCs w:val="24"/>
        </w:rPr>
        <w:t>a cut and paste from another source.</w:t>
      </w:r>
    </w:p>
    <w:p w14:paraId="6C452512" w14:textId="77777777" w:rsidR="00505050" w:rsidRPr="00565933" w:rsidRDefault="00505050"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74E16E6B" w14:textId="77777777" w:rsidR="00BC55A5" w:rsidRDefault="00BC55A5">
      <w:pPr>
        <w:rPr>
          <w:rFonts w:ascii="Arial" w:eastAsia="Calibri" w:hAnsi="Arial" w:cs="Arial"/>
          <w:sz w:val="24"/>
          <w:szCs w:val="24"/>
        </w:rPr>
      </w:pPr>
      <w:r>
        <w:rPr>
          <w:rFonts w:ascii="Arial" w:eastAsia="Calibri" w:hAnsi="Arial" w:cs="Arial"/>
          <w:sz w:val="24"/>
          <w:szCs w:val="24"/>
        </w:rPr>
        <w:br w:type="page"/>
      </w:r>
    </w:p>
    <w:p w14:paraId="05309B61" w14:textId="77777777" w:rsidR="00BC55A5" w:rsidRDefault="00BC55A5"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74D94452" w14:textId="0755E4A1" w:rsidR="00833AF5" w:rsidRPr="00565933" w:rsidRDefault="002E2CA3"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21.</w:t>
      </w:r>
      <w:r>
        <w:rPr>
          <w:rFonts w:ascii="Arial" w:eastAsia="Calibri" w:hAnsi="Arial" w:cs="Arial"/>
          <w:sz w:val="24"/>
          <w:szCs w:val="24"/>
        </w:rPr>
        <w:tab/>
      </w:r>
      <w:r w:rsidR="006F2B8D" w:rsidRPr="00565933">
        <w:rPr>
          <w:rFonts w:ascii="Arial" w:eastAsia="Calibri" w:hAnsi="Arial" w:cs="Arial"/>
          <w:sz w:val="24"/>
          <w:szCs w:val="24"/>
        </w:rPr>
        <w:t>T</w:t>
      </w:r>
      <w:r w:rsidR="009F6D3B" w:rsidRPr="00565933">
        <w:rPr>
          <w:rFonts w:ascii="Arial" w:eastAsia="Calibri" w:hAnsi="Arial" w:cs="Arial"/>
          <w:sz w:val="24"/>
          <w:szCs w:val="24"/>
        </w:rPr>
        <w:t>he department’s submission</w:t>
      </w:r>
      <w:r w:rsidR="006F2B8D" w:rsidRPr="00565933">
        <w:rPr>
          <w:rFonts w:ascii="Arial" w:eastAsia="Calibri" w:hAnsi="Arial" w:cs="Arial"/>
          <w:sz w:val="24"/>
          <w:szCs w:val="24"/>
        </w:rPr>
        <w:t xml:space="preserve"> refers to </w:t>
      </w:r>
      <w:r w:rsidR="009F6D3B" w:rsidRPr="00565933">
        <w:rPr>
          <w:rFonts w:ascii="Arial" w:eastAsia="Calibri" w:hAnsi="Arial" w:cs="Arial"/>
          <w:i/>
          <w:iCs/>
          <w:sz w:val="24"/>
          <w:szCs w:val="24"/>
        </w:rPr>
        <w:t>CS/343/1994</w:t>
      </w:r>
      <w:r w:rsidR="009F6D3B" w:rsidRPr="00565933">
        <w:rPr>
          <w:rFonts w:ascii="Arial" w:eastAsia="Calibri" w:hAnsi="Arial" w:cs="Arial"/>
          <w:sz w:val="24"/>
          <w:szCs w:val="24"/>
        </w:rPr>
        <w:t>,</w:t>
      </w:r>
      <w:r w:rsidR="006F2B8D" w:rsidRPr="00565933">
        <w:rPr>
          <w:rFonts w:ascii="Arial" w:eastAsia="Calibri" w:hAnsi="Arial" w:cs="Arial"/>
          <w:sz w:val="24"/>
          <w:szCs w:val="24"/>
        </w:rPr>
        <w:t xml:space="preserve"> a case</w:t>
      </w:r>
      <w:r w:rsidR="009F6D3B" w:rsidRPr="00565933">
        <w:rPr>
          <w:rFonts w:ascii="Arial" w:eastAsia="Calibri" w:hAnsi="Arial" w:cs="Arial"/>
          <w:sz w:val="24"/>
          <w:szCs w:val="24"/>
        </w:rPr>
        <w:t xml:space="preserve"> in which </w:t>
      </w:r>
      <w:r w:rsidR="006F2B8D" w:rsidRPr="00565933">
        <w:rPr>
          <w:rFonts w:ascii="Arial" w:eastAsia="Calibri" w:hAnsi="Arial" w:cs="Arial"/>
          <w:sz w:val="24"/>
          <w:szCs w:val="24"/>
        </w:rPr>
        <w:t>Mr Commissioner Rice cautioned against going behind the record of proceedings without clear and convincing evidence that the position has not been properly represented</w:t>
      </w:r>
      <w:r w:rsidR="003823DE" w:rsidRPr="00565933">
        <w:rPr>
          <w:rFonts w:ascii="Arial" w:eastAsia="Calibri" w:hAnsi="Arial" w:cs="Arial"/>
          <w:sz w:val="24"/>
          <w:szCs w:val="24"/>
        </w:rPr>
        <w:t xml:space="preserve">. </w:t>
      </w:r>
      <w:r>
        <w:rPr>
          <w:rFonts w:ascii="Arial" w:eastAsia="Calibri" w:hAnsi="Arial" w:cs="Arial"/>
          <w:sz w:val="24"/>
          <w:szCs w:val="24"/>
        </w:rPr>
        <w:t xml:space="preserve"> </w:t>
      </w:r>
      <w:r w:rsidR="00833AF5" w:rsidRPr="00565933">
        <w:rPr>
          <w:rFonts w:ascii="Arial" w:eastAsia="Calibri" w:hAnsi="Arial" w:cs="Arial"/>
          <w:sz w:val="24"/>
          <w:szCs w:val="24"/>
        </w:rPr>
        <w:t xml:space="preserve">I am of the view that convincing evidence exists in the apparent lack of any relevant questioning, coupled with the absence of any written submissions from the appellant as to the mobility aspect, </w:t>
      </w:r>
      <w:r w:rsidR="00D63ADD" w:rsidRPr="00565933">
        <w:rPr>
          <w:rFonts w:ascii="Arial" w:eastAsia="Calibri" w:hAnsi="Arial" w:cs="Arial"/>
          <w:sz w:val="24"/>
          <w:szCs w:val="24"/>
        </w:rPr>
        <w:t xml:space="preserve">in circumstances </w:t>
      </w:r>
      <w:r w:rsidR="00833AF5" w:rsidRPr="00565933">
        <w:rPr>
          <w:rFonts w:ascii="Arial" w:eastAsia="Calibri" w:hAnsi="Arial" w:cs="Arial"/>
          <w:sz w:val="24"/>
          <w:szCs w:val="24"/>
        </w:rPr>
        <w:t>where she made explicit written observations on the various activities in dispute in the daily living category</w:t>
      </w:r>
      <w:r w:rsidR="00D86014" w:rsidRPr="00565933">
        <w:rPr>
          <w:rFonts w:ascii="Arial" w:eastAsia="Calibri" w:hAnsi="Arial" w:cs="Arial"/>
          <w:sz w:val="24"/>
          <w:szCs w:val="24"/>
        </w:rPr>
        <w:t>.</w:t>
      </w:r>
    </w:p>
    <w:p w14:paraId="6B4EDF83" w14:textId="77777777" w:rsidR="00505050" w:rsidRPr="00565933" w:rsidRDefault="00505050"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585004DC" w14:textId="7337F3B5" w:rsidR="006F2B8D" w:rsidRPr="00565933" w:rsidRDefault="002E2CA3"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22.</w:t>
      </w:r>
      <w:r>
        <w:rPr>
          <w:rFonts w:ascii="Arial" w:eastAsia="Calibri" w:hAnsi="Arial" w:cs="Arial"/>
          <w:sz w:val="24"/>
          <w:szCs w:val="24"/>
        </w:rPr>
        <w:tab/>
      </w:r>
      <w:r w:rsidR="009F6D3B" w:rsidRPr="00565933">
        <w:rPr>
          <w:rFonts w:ascii="Arial" w:eastAsia="Calibri" w:hAnsi="Arial" w:cs="Arial"/>
          <w:sz w:val="24"/>
          <w:szCs w:val="24"/>
        </w:rPr>
        <w:t xml:space="preserve">I note </w:t>
      </w:r>
      <w:r w:rsidR="00833AF5" w:rsidRPr="00565933">
        <w:rPr>
          <w:rFonts w:ascii="Arial" w:eastAsia="Calibri" w:hAnsi="Arial" w:cs="Arial"/>
          <w:sz w:val="24"/>
          <w:szCs w:val="24"/>
        </w:rPr>
        <w:t xml:space="preserve">further </w:t>
      </w:r>
      <w:r w:rsidR="009F6D3B" w:rsidRPr="00565933">
        <w:rPr>
          <w:rFonts w:ascii="Arial" w:eastAsia="Calibri" w:hAnsi="Arial" w:cs="Arial"/>
          <w:sz w:val="24"/>
          <w:szCs w:val="24"/>
        </w:rPr>
        <w:t xml:space="preserve">that </w:t>
      </w:r>
      <w:r w:rsidR="00833AF5" w:rsidRPr="00565933">
        <w:rPr>
          <w:rFonts w:ascii="Arial" w:eastAsia="Calibri" w:hAnsi="Arial" w:cs="Arial"/>
          <w:i/>
          <w:iCs/>
          <w:sz w:val="24"/>
          <w:szCs w:val="24"/>
        </w:rPr>
        <w:t>CS/343/1994</w:t>
      </w:r>
      <w:r w:rsidR="00833AF5" w:rsidRPr="00565933">
        <w:rPr>
          <w:rFonts w:ascii="Arial" w:eastAsia="Calibri" w:hAnsi="Arial" w:cs="Arial"/>
          <w:sz w:val="24"/>
          <w:szCs w:val="24"/>
        </w:rPr>
        <w:t xml:space="preserve"> </w:t>
      </w:r>
      <w:r w:rsidR="009F6D3B" w:rsidRPr="00565933">
        <w:rPr>
          <w:rFonts w:ascii="Arial" w:eastAsia="Calibri" w:hAnsi="Arial" w:cs="Arial"/>
          <w:sz w:val="24"/>
          <w:szCs w:val="24"/>
        </w:rPr>
        <w:t>was decided well before the routine use of computers in preparing judgments</w:t>
      </w:r>
      <w:r w:rsidR="006F2B8D" w:rsidRPr="00565933">
        <w:rPr>
          <w:rFonts w:ascii="Arial" w:eastAsia="Calibri" w:hAnsi="Arial" w:cs="Arial"/>
          <w:sz w:val="24"/>
          <w:szCs w:val="24"/>
        </w:rPr>
        <w:t>, and thus the possibility of generic explanatory paragraphs was not commonplace</w:t>
      </w:r>
      <w:r w:rsidR="00D86014" w:rsidRPr="00565933">
        <w:rPr>
          <w:rFonts w:ascii="Arial" w:eastAsia="Calibri" w:hAnsi="Arial" w:cs="Arial"/>
          <w:sz w:val="24"/>
          <w:szCs w:val="24"/>
        </w:rPr>
        <w:t>.</w:t>
      </w:r>
      <w:r>
        <w:rPr>
          <w:rFonts w:ascii="Arial" w:eastAsia="Calibri" w:hAnsi="Arial" w:cs="Arial"/>
          <w:sz w:val="24"/>
          <w:szCs w:val="24"/>
        </w:rPr>
        <w:t xml:space="preserve"> </w:t>
      </w:r>
      <w:r w:rsidR="00D86014" w:rsidRPr="00565933">
        <w:rPr>
          <w:rFonts w:ascii="Arial" w:eastAsia="Calibri" w:hAnsi="Arial" w:cs="Arial"/>
          <w:sz w:val="24"/>
          <w:szCs w:val="24"/>
        </w:rPr>
        <w:t xml:space="preserve"> </w:t>
      </w:r>
      <w:r w:rsidR="006F2B8D" w:rsidRPr="00565933">
        <w:rPr>
          <w:rFonts w:ascii="Arial" w:eastAsia="Calibri" w:hAnsi="Arial" w:cs="Arial"/>
          <w:sz w:val="24"/>
          <w:szCs w:val="24"/>
        </w:rPr>
        <w:t xml:space="preserve">I do not </w:t>
      </w:r>
      <w:r w:rsidR="00833AF5" w:rsidRPr="00565933">
        <w:rPr>
          <w:rFonts w:ascii="Arial" w:eastAsia="Calibri" w:hAnsi="Arial" w:cs="Arial"/>
          <w:sz w:val="24"/>
          <w:szCs w:val="24"/>
        </w:rPr>
        <w:t xml:space="preserve">wholly </w:t>
      </w:r>
      <w:r w:rsidR="006F2B8D" w:rsidRPr="00565933">
        <w:rPr>
          <w:rFonts w:ascii="Arial" w:eastAsia="Calibri" w:hAnsi="Arial" w:cs="Arial"/>
          <w:sz w:val="24"/>
          <w:szCs w:val="24"/>
        </w:rPr>
        <w:t>deprecate their use</w:t>
      </w:r>
      <w:r w:rsidR="009F6D3B" w:rsidRPr="00565933">
        <w:rPr>
          <w:rFonts w:ascii="Arial" w:eastAsia="Calibri" w:hAnsi="Arial" w:cs="Arial"/>
          <w:sz w:val="24"/>
          <w:szCs w:val="24"/>
        </w:rPr>
        <w:t>-it is often appropriate to make generic points, but it is important to check that they do indeed apply entirely in each case.</w:t>
      </w:r>
    </w:p>
    <w:p w14:paraId="29C6B991" w14:textId="77777777" w:rsidR="00505050" w:rsidRPr="00565933" w:rsidRDefault="00505050"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0C10548C" w14:textId="02069F39" w:rsidR="000F3C87" w:rsidRPr="00565933" w:rsidRDefault="002E2CA3"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23.</w:t>
      </w:r>
      <w:r>
        <w:rPr>
          <w:rFonts w:ascii="Arial" w:eastAsia="Calibri" w:hAnsi="Arial" w:cs="Arial"/>
          <w:sz w:val="24"/>
          <w:szCs w:val="24"/>
        </w:rPr>
        <w:tab/>
      </w:r>
      <w:r w:rsidR="006F2B8D" w:rsidRPr="00565933">
        <w:rPr>
          <w:rFonts w:ascii="Arial" w:eastAsia="Calibri" w:hAnsi="Arial" w:cs="Arial"/>
          <w:sz w:val="24"/>
          <w:szCs w:val="24"/>
        </w:rPr>
        <w:t xml:space="preserve">Whether that happened here </w:t>
      </w:r>
      <w:r w:rsidR="00BE2A5B" w:rsidRPr="00565933">
        <w:rPr>
          <w:rFonts w:ascii="Arial" w:eastAsia="Calibri" w:hAnsi="Arial" w:cs="Arial"/>
          <w:sz w:val="24"/>
          <w:szCs w:val="24"/>
        </w:rPr>
        <w:t xml:space="preserve">or </w:t>
      </w:r>
      <w:r w:rsidR="006F2B8D" w:rsidRPr="00565933">
        <w:rPr>
          <w:rFonts w:ascii="Arial" w:eastAsia="Calibri" w:hAnsi="Arial" w:cs="Arial"/>
          <w:sz w:val="24"/>
          <w:szCs w:val="24"/>
        </w:rPr>
        <w:t>not</w:t>
      </w:r>
      <w:r w:rsidR="00833AF5" w:rsidRPr="00565933">
        <w:rPr>
          <w:rFonts w:ascii="Arial" w:eastAsia="Calibri" w:hAnsi="Arial" w:cs="Arial"/>
          <w:sz w:val="24"/>
          <w:szCs w:val="24"/>
        </w:rPr>
        <w:t xml:space="preserve">, it remains that </w:t>
      </w:r>
      <w:r w:rsidR="009F6D3B" w:rsidRPr="00565933">
        <w:rPr>
          <w:rFonts w:ascii="Arial" w:eastAsia="Calibri" w:hAnsi="Arial" w:cs="Arial"/>
          <w:sz w:val="24"/>
          <w:szCs w:val="24"/>
        </w:rPr>
        <w:t>the</w:t>
      </w:r>
      <w:r w:rsidR="006F2B8D" w:rsidRPr="00565933">
        <w:rPr>
          <w:rFonts w:ascii="Arial" w:eastAsia="Calibri" w:hAnsi="Arial" w:cs="Arial"/>
          <w:sz w:val="24"/>
          <w:szCs w:val="24"/>
        </w:rPr>
        <w:t xml:space="preserve">re is no indication the </w:t>
      </w:r>
      <w:r w:rsidR="009F6D3B" w:rsidRPr="00565933">
        <w:rPr>
          <w:rFonts w:ascii="Arial" w:eastAsia="Calibri" w:hAnsi="Arial" w:cs="Arial"/>
          <w:sz w:val="24"/>
          <w:szCs w:val="24"/>
        </w:rPr>
        <w:t xml:space="preserve">appellant was directly warned </w:t>
      </w:r>
      <w:r w:rsidR="006F2B8D" w:rsidRPr="00565933">
        <w:rPr>
          <w:rFonts w:ascii="Arial" w:eastAsia="Calibri" w:hAnsi="Arial" w:cs="Arial"/>
          <w:sz w:val="24"/>
          <w:szCs w:val="24"/>
        </w:rPr>
        <w:t>that a</w:t>
      </w:r>
      <w:r w:rsidR="009F6D3B" w:rsidRPr="00565933">
        <w:rPr>
          <w:rFonts w:ascii="Arial" w:eastAsia="Calibri" w:hAnsi="Arial" w:cs="Arial"/>
          <w:sz w:val="24"/>
          <w:szCs w:val="24"/>
        </w:rPr>
        <w:t xml:space="preserve"> possibl</w:t>
      </w:r>
      <w:r w:rsidR="006F2B8D" w:rsidRPr="00565933">
        <w:rPr>
          <w:rFonts w:ascii="Arial" w:eastAsia="Calibri" w:hAnsi="Arial" w:cs="Arial"/>
          <w:sz w:val="24"/>
          <w:szCs w:val="24"/>
        </w:rPr>
        <w:t>e</w:t>
      </w:r>
      <w:r w:rsidR="009F6D3B" w:rsidRPr="00565933">
        <w:rPr>
          <w:rFonts w:ascii="Arial" w:eastAsia="Calibri" w:hAnsi="Arial" w:cs="Arial"/>
          <w:sz w:val="24"/>
          <w:szCs w:val="24"/>
        </w:rPr>
        <w:t xml:space="preserve"> consequence of the tribunal considering the mobility element </w:t>
      </w:r>
      <w:r w:rsidR="006F2B8D" w:rsidRPr="00565933">
        <w:rPr>
          <w:rFonts w:ascii="Arial" w:eastAsia="Calibri" w:hAnsi="Arial" w:cs="Arial"/>
          <w:sz w:val="24"/>
          <w:szCs w:val="24"/>
        </w:rPr>
        <w:t xml:space="preserve">was to place the </w:t>
      </w:r>
      <w:r w:rsidR="009F6D3B" w:rsidRPr="00565933">
        <w:rPr>
          <w:rFonts w:ascii="Arial" w:eastAsia="Calibri" w:hAnsi="Arial" w:cs="Arial"/>
          <w:sz w:val="24"/>
          <w:szCs w:val="24"/>
        </w:rPr>
        <w:t>ongoing award at risk.</w:t>
      </w:r>
    </w:p>
    <w:p w14:paraId="21DD4ECB" w14:textId="77777777" w:rsidR="00505050" w:rsidRPr="00565933" w:rsidRDefault="00505050"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6C4D1006" w14:textId="2C78B362" w:rsidR="00BE2A5B" w:rsidRPr="00565933" w:rsidRDefault="002E2CA3"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24.</w:t>
      </w:r>
      <w:r>
        <w:rPr>
          <w:rFonts w:ascii="Arial" w:eastAsia="Calibri" w:hAnsi="Arial" w:cs="Arial"/>
          <w:sz w:val="24"/>
          <w:szCs w:val="24"/>
        </w:rPr>
        <w:tab/>
      </w:r>
      <w:r w:rsidR="00BE2A5B" w:rsidRPr="00565933">
        <w:rPr>
          <w:rFonts w:ascii="Arial" w:eastAsia="Calibri" w:hAnsi="Arial" w:cs="Arial"/>
          <w:sz w:val="24"/>
          <w:szCs w:val="24"/>
        </w:rPr>
        <w:t>This is wholly conceded by the department at paragraphs 14 and 15.  It will be helpful if the submission is available to the fresh tribunal.</w:t>
      </w:r>
    </w:p>
    <w:p w14:paraId="0E1621D6" w14:textId="77777777" w:rsidR="00505050" w:rsidRPr="00565933" w:rsidRDefault="00505050"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2F98A2C4" w14:textId="01A20AB4" w:rsidR="00861EBF" w:rsidRPr="00565933" w:rsidRDefault="002E2CA3" w:rsidP="002E2CA3">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25.</w:t>
      </w:r>
      <w:r>
        <w:rPr>
          <w:rFonts w:ascii="Arial" w:eastAsia="Calibri" w:hAnsi="Arial" w:cs="Arial"/>
          <w:sz w:val="24"/>
          <w:szCs w:val="24"/>
        </w:rPr>
        <w:tab/>
      </w:r>
      <w:r w:rsidR="00D63ADD" w:rsidRPr="00565933">
        <w:rPr>
          <w:rFonts w:ascii="Arial" w:eastAsia="Calibri" w:hAnsi="Arial" w:cs="Arial"/>
          <w:sz w:val="24"/>
          <w:szCs w:val="24"/>
        </w:rPr>
        <w:t>Th</w:t>
      </w:r>
      <w:r w:rsidR="00BE2A5B" w:rsidRPr="00565933">
        <w:rPr>
          <w:rFonts w:ascii="Arial" w:eastAsia="Calibri" w:hAnsi="Arial" w:cs="Arial"/>
          <w:sz w:val="24"/>
          <w:szCs w:val="24"/>
        </w:rPr>
        <w:t xml:space="preserve">e failure to explain that it had powers to make a less favourable award than the one </w:t>
      </w:r>
      <w:r w:rsidR="004F7541" w:rsidRPr="00565933">
        <w:rPr>
          <w:rFonts w:ascii="Arial" w:eastAsia="Calibri" w:hAnsi="Arial" w:cs="Arial"/>
          <w:sz w:val="24"/>
          <w:szCs w:val="24"/>
        </w:rPr>
        <w:t>already made</w:t>
      </w:r>
      <w:r w:rsidR="00BE2A5B" w:rsidRPr="00565933">
        <w:rPr>
          <w:rFonts w:ascii="Arial" w:eastAsia="Calibri" w:hAnsi="Arial" w:cs="Arial"/>
          <w:sz w:val="24"/>
          <w:szCs w:val="24"/>
        </w:rPr>
        <w:t>, that it was considering doing so, and on what grounds,</w:t>
      </w:r>
      <w:r w:rsidR="00D63ADD" w:rsidRPr="00565933">
        <w:rPr>
          <w:rFonts w:ascii="Arial" w:eastAsia="Calibri" w:hAnsi="Arial" w:cs="Arial"/>
          <w:sz w:val="24"/>
          <w:szCs w:val="24"/>
        </w:rPr>
        <w:t xml:space="preserve"> was a</w:t>
      </w:r>
      <w:r w:rsidR="005D17E9" w:rsidRPr="00565933">
        <w:rPr>
          <w:rFonts w:ascii="Arial" w:eastAsia="Calibri" w:hAnsi="Arial" w:cs="Arial"/>
          <w:sz w:val="24"/>
          <w:szCs w:val="24"/>
        </w:rPr>
        <w:t xml:space="preserve">n error of law of real significance to the outcome of the hearing. </w:t>
      </w:r>
      <w:r>
        <w:rPr>
          <w:rFonts w:ascii="Arial" w:eastAsia="Calibri" w:hAnsi="Arial" w:cs="Arial"/>
          <w:sz w:val="24"/>
          <w:szCs w:val="24"/>
        </w:rPr>
        <w:t xml:space="preserve"> </w:t>
      </w:r>
      <w:r w:rsidR="00BE2A5B" w:rsidRPr="00565933">
        <w:rPr>
          <w:rFonts w:ascii="Arial" w:eastAsia="Calibri" w:hAnsi="Arial" w:cs="Arial"/>
          <w:sz w:val="24"/>
          <w:szCs w:val="24"/>
        </w:rPr>
        <w:t xml:space="preserve">As Mr Clements says, it amounts to a procedural irregularity that has resulted in </w:t>
      </w:r>
      <w:r w:rsidR="00F84C02" w:rsidRPr="00565933">
        <w:rPr>
          <w:rFonts w:ascii="Arial" w:eastAsia="Calibri" w:hAnsi="Arial" w:cs="Arial"/>
          <w:sz w:val="24"/>
          <w:szCs w:val="24"/>
        </w:rPr>
        <w:t>unfairness and</w:t>
      </w:r>
      <w:r w:rsidR="00335323" w:rsidRPr="00565933">
        <w:rPr>
          <w:rFonts w:ascii="Arial" w:eastAsia="Calibri" w:hAnsi="Arial" w:cs="Arial"/>
          <w:sz w:val="24"/>
          <w:szCs w:val="24"/>
        </w:rPr>
        <w:t xml:space="preserve"> rendered the decision erroneous in law.</w:t>
      </w:r>
    </w:p>
    <w:p w14:paraId="0DA90389" w14:textId="77777777" w:rsidR="00861EBF" w:rsidRPr="00565933" w:rsidRDefault="00861EBF" w:rsidP="009A52CF">
      <w:pPr>
        <w:tabs>
          <w:tab w:val="left" w:pos="510"/>
          <w:tab w:val="left" w:pos="1077"/>
          <w:tab w:val="left" w:pos="1797"/>
        </w:tabs>
        <w:spacing w:after="0" w:line="240" w:lineRule="auto"/>
        <w:contextualSpacing/>
        <w:rPr>
          <w:rFonts w:ascii="Arial" w:eastAsia="Calibri" w:hAnsi="Arial" w:cs="Arial"/>
          <w:sz w:val="24"/>
          <w:szCs w:val="24"/>
        </w:rPr>
      </w:pPr>
    </w:p>
    <w:p w14:paraId="23E90025" w14:textId="791A509E" w:rsidR="00861EBF" w:rsidRPr="00565933" w:rsidRDefault="00364A6F" w:rsidP="009A52CF">
      <w:pPr>
        <w:tabs>
          <w:tab w:val="left" w:pos="510"/>
          <w:tab w:val="left" w:pos="1077"/>
          <w:tab w:val="left" w:pos="1797"/>
        </w:tabs>
        <w:spacing w:after="0" w:line="240" w:lineRule="auto"/>
        <w:contextualSpacing/>
        <w:rPr>
          <w:rFonts w:ascii="Arial" w:eastAsia="Calibri" w:hAnsi="Arial" w:cs="Arial"/>
          <w:b/>
          <w:bCs/>
          <w:sz w:val="24"/>
          <w:szCs w:val="24"/>
        </w:rPr>
      </w:pPr>
      <w:r>
        <w:rPr>
          <w:rFonts w:ascii="Arial" w:eastAsia="Calibri" w:hAnsi="Arial" w:cs="Arial"/>
          <w:b/>
          <w:bCs/>
          <w:sz w:val="24"/>
          <w:szCs w:val="24"/>
        </w:rPr>
        <w:tab/>
      </w:r>
      <w:r w:rsidR="00861EBF" w:rsidRPr="00565933">
        <w:rPr>
          <w:rFonts w:ascii="Arial" w:eastAsia="Calibri" w:hAnsi="Arial" w:cs="Arial"/>
          <w:b/>
          <w:bCs/>
          <w:sz w:val="24"/>
          <w:szCs w:val="24"/>
        </w:rPr>
        <w:t>Before the new tribunal</w:t>
      </w:r>
    </w:p>
    <w:p w14:paraId="114AAEA3" w14:textId="77777777" w:rsidR="00364A6F" w:rsidRDefault="00364A6F" w:rsidP="009A52CF">
      <w:pPr>
        <w:tabs>
          <w:tab w:val="left" w:pos="510"/>
          <w:tab w:val="left" w:pos="1077"/>
          <w:tab w:val="left" w:pos="1797"/>
        </w:tabs>
        <w:spacing w:after="0" w:line="240" w:lineRule="auto"/>
        <w:contextualSpacing/>
        <w:rPr>
          <w:rFonts w:ascii="Arial" w:eastAsia="Calibri" w:hAnsi="Arial" w:cs="Arial"/>
          <w:sz w:val="24"/>
          <w:szCs w:val="24"/>
        </w:rPr>
      </w:pPr>
    </w:p>
    <w:p w14:paraId="01312419" w14:textId="4C6093E9" w:rsidR="00BE2A5B" w:rsidRPr="00565933" w:rsidRDefault="00364A6F" w:rsidP="00364A6F">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26.</w:t>
      </w:r>
      <w:r>
        <w:rPr>
          <w:rFonts w:ascii="Arial" w:eastAsia="Calibri" w:hAnsi="Arial" w:cs="Arial"/>
          <w:sz w:val="24"/>
          <w:szCs w:val="24"/>
        </w:rPr>
        <w:tab/>
      </w:r>
      <w:r w:rsidR="00BE2A5B" w:rsidRPr="00565933">
        <w:rPr>
          <w:rFonts w:ascii="Arial" w:eastAsia="Calibri" w:hAnsi="Arial" w:cs="Arial"/>
          <w:sz w:val="24"/>
          <w:szCs w:val="24"/>
        </w:rPr>
        <w:t>My setting aside of the decision of the Belfast tribunal reinstates the departmental award of the mobility component at the standard rate.</w:t>
      </w:r>
    </w:p>
    <w:p w14:paraId="6212A4AB" w14:textId="77777777" w:rsidR="00505050" w:rsidRPr="00565933" w:rsidRDefault="00505050" w:rsidP="00364A6F">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3ADBC2E8" w14:textId="62844CA2" w:rsidR="00BE2A5B" w:rsidRPr="00565933" w:rsidRDefault="00364A6F" w:rsidP="00364A6F">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27.</w:t>
      </w:r>
      <w:r>
        <w:rPr>
          <w:rFonts w:ascii="Arial" w:eastAsia="Calibri" w:hAnsi="Arial" w:cs="Arial"/>
          <w:sz w:val="24"/>
          <w:szCs w:val="24"/>
        </w:rPr>
        <w:tab/>
      </w:r>
      <w:r w:rsidR="00BE2A5B" w:rsidRPr="00565933">
        <w:rPr>
          <w:rFonts w:ascii="Arial" w:eastAsia="Calibri" w:hAnsi="Arial" w:cs="Arial"/>
          <w:sz w:val="24"/>
          <w:szCs w:val="24"/>
        </w:rPr>
        <w:t>I am grateful to Mr Clements for drawing the two cases I refer to above so clearly to my attention.</w:t>
      </w:r>
      <w:r>
        <w:rPr>
          <w:rFonts w:ascii="Arial" w:eastAsia="Calibri" w:hAnsi="Arial" w:cs="Arial"/>
          <w:sz w:val="24"/>
          <w:szCs w:val="24"/>
        </w:rPr>
        <w:t xml:space="preserve"> </w:t>
      </w:r>
      <w:r w:rsidR="00BE2A5B" w:rsidRPr="00565933">
        <w:rPr>
          <w:rFonts w:ascii="Arial" w:eastAsia="Calibri" w:hAnsi="Arial" w:cs="Arial"/>
          <w:sz w:val="24"/>
          <w:szCs w:val="24"/>
        </w:rPr>
        <w:t xml:space="preserve"> In my turn I commend them to the new tribunal prior to any decision to consider the mobility award. </w:t>
      </w:r>
      <w:r>
        <w:rPr>
          <w:rFonts w:ascii="Arial" w:eastAsia="Calibri" w:hAnsi="Arial" w:cs="Arial"/>
          <w:sz w:val="24"/>
          <w:szCs w:val="24"/>
        </w:rPr>
        <w:t xml:space="preserve"> </w:t>
      </w:r>
      <w:r w:rsidR="00BE2A5B" w:rsidRPr="00565933">
        <w:rPr>
          <w:rFonts w:ascii="Arial" w:eastAsia="Calibri" w:hAnsi="Arial" w:cs="Arial"/>
          <w:sz w:val="24"/>
          <w:szCs w:val="24"/>
        </w:rPr>
        <w:t>It may, of course, decide not to do so at all in light of the appellant’s indications before me that she is content with the award of the standard rate of mobility.</w:t>
      </w:r>
    </w:p>
    <w:p w14:paraId="532AEABD" w14:textId="499E07CB" w:rsidR="00505050" w:rsidRPr="00565933" w:rsidRDefault="00505050" w:rsidP="00364A6F">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5D37760A" w14:textId="474839EB" w:rsidR="00833AF5" w:rsidRPr="00565933" w:rsidRDefault="00364A6F" w:rsidP="00364A6F">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t>28.</w:t>
      </w:r>
      <w:r>
        <w:rPr>
          <w:rFonts w:ascii="Arial" w:eastAsia="Calibri" w:hAnsi="Arial" w:cs="Arial"/>
          <w:sz w:val="24"/>
          <w:szCs w:val="24"/>
        </w:rPr>
        <w:tab/>
      </w:r>
      <w:r w:rsidR="00861EBF" w:rsidRPr="00565933">
        <w:rPr>
          <w:rFonts w:ascii="Arial" w:eastAsia="Calibri" w:hAnsi="Arial" w:cs="Arial"/>
          <w:sz w:val="24"/>
          <w:szCs w:val="24"/>
        </w:rPr>
        <w:t xml:space="preserve">The </w:t>
      </w:r>
      <w:r w:rsidR="00833AF5" w:rsidRPr="00565933">
        <w:rPr>
          <w:rFonts w:ascii="Arial" w:eastAsia="Calibri" w:hAnsi="Arial" w:cs="Arial"/>
          <w:sz w:val="24"/>
          <w:szCs w:val="24"/>
        </w:rPr>
        <w:t>next</w:t>
      </w:r>
      <w:r w:rsidR="00861EBF" w:rsidRPr="00565933">
        <w:rPr>
          <w:rFonts w:ascii="Arial" w:eastAsia="Calibri" w:hAnsi="Arial" w:cs="Arial"/>
          <w:sz w:val="24"/>
          <w:szCs w:val="24"/>
        </w:rPr>
        <w:t xml:space="preserve"> tribunal will look at the </w:t>
      </w:r>
      <w:r w:rsidR="00833AF5" w:rsidRPr="00565933">
        <w:rPr>
          <w:rFonts w:ascii="Arial" w:eastAsia="Calibri" w:hAnsi="Arial" w:cs="Arial"/>
          <w:sz w:val="24"/>
          <w:szCs w:val="24"/>
        </w:rPr>
        <w:t xml:space="preserve">evidence </w:t>
      </w:r>
      <w:r w:rsidR="00F84C02" w:rsidRPr="00565933">
        <w:rPr>
          <w:rFonts w:ascii="Arial" w:eastAsia="Calibri" w:hAnsi="Arial" w:cs="Arial"/>
          <w:sz w:val="24"/>
          <w:szCs w:val="24"/>
        </w:rPr>
        <w:t>afresh and</w:t>
      </w:r>
      <w:r w:rsidR="00833AF5" w:rsidRPr="00565933">
        <w:rPr>
          <w:rFonts w:ascii="Arial" w:eastAsia="Calibri" w:hAnsi="Arial" w:cs="Arial"/>
          <w:sz w:val="24"/>
          <w:szCs w:val="24"/>
        </w:rPr>
        <w:t xml:space="preserve"> make its own findings</w:t>
      </w:r>
      <w:r w:rsidR="00D63ADD" w:rsidRPr="00565933">
        <w:rPr>
          <w:rFonts w:ascii="Arial" w:eastAsia="Calibri" w:hAnsi="Arial" w:cs="Arial"/>
          <w:sz w:val="24"/>
          <w:szCs w:val="24"/>
        </w:rPr>
        <w:t xml:space="preserve"> on the appellant’s likely difficulties and capability in relation to the disputed descriptors</w:t>
      </w:r>
      <w:r w:rsidR="00D86014" w:rsidRPr="00565933">
        <w:rPr>
          <w:rFonts w:ascii="Arial" w:eastAsia="Calibri" w:hAnsi="Arial" w:cs="Arial"/>
          <w:sz w:val="24"/>
          <w:szCs w:val="24"/>
        </w:rPr>
        <w:t xml:space="preserve">. </w:t>
      </w:r>
      <w:r>
        <w:rPr>
          <w:rFonts w:ascii="Arial" w:eastAsia="Calibri" w:hAnsi="Arial" w:cs="Arial"/>
          <w:sz w:val="24"/>
          <w:szCs w:val="24"/>
        </w:rPr>
        <w:t xml:space="preserve"> </w:t>
      </w:r>
      <w:r w:rsidR="00D63ADD" w:rsidRPr="00565933">
        <w:rPr>
          <w:rFonts w:ascii="Arial" w:eastAsia="Calibri" w:hAnsi="Arial" w:cs="Arial"/>
          <w:sz w:val="24"/>
          <w:szCs w:val="24"/>
        </w:rPr>
        <w:t xml:space="preserve">Those findings will be based upon its analysis of what it </w:t>
      </w:r>
      <w:r w:rsidR="00833AF5" w:rsidRPr="00565933">
        <w:rPr>
          <w:rFonts w:ascii="Arial" w:eastAsia="Calibri" w:hAnsi="Arial" w:cs="Arial"/>
          <w:sz w:val="24"/>
          <w:szCs w:val="24"/>
        </w:rPr>
        <w:t>reads and hears</w:t>
      </w:r>
      <w:r w:rsidR="00D86014" w:rsidRPr="00565933">
        <w:rPr>
          <w:rFonts w:ascii="Arial" w:eastAsia="Calibri" w:hAnsi="Arial" w:cs="Arial"/>
          <w:sz w:val="24"/>
          <w:szCs w:val="24"/>
        </w:rPr>
        <w:t>.</w:t>
      </w:r>
    </w:p>
    <w:p w14:paraId="4BF8D668" w14:textId="373CF45C" w:rsidR="00505050" w:rsidRPr="00565933" w:rsidRDefault="00505050" w:rsidP="00364A6F">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p>
    <w:p w14:paraId="40F05323" w14:textId="77777777" w:rsidR="00BC55A5" w:rsidRDefault="00BC55A5">
      <w:pPr>
        <w:rPr>
          <w:rFonts w:ascii="Arial" w:eastAsia="Calibri" w:hAnsi="Arial" w:cs="Arial"/>
          <w:sz w:val="24"/>
          <w:szCs w:val="24"/>
        </w:rPr>
      </w:pPr>
      <w:r>
        <w:rPr>
          <w:rFonts w:ascii="Arial" w:eastAsia="Calibri" w:hAnsi="Arial" w:cs="Arial"/>
          <w:sz w:val="24"/>
          <w:szCs w:val="24"/>
        </w:rPr>
        <w:br w:type="page"/>
      </w:r>
    </w:p>
    <w:p w14:paraId="5BCA831C" w14:textId="7289EE54" w:rsidR="00BE2A5B" w:rsidRPr="00565933" w:rsidRDefault="00364A6F" w:rsidP="00364A6F">
      <w:pPr>
        <w:tabs>
          <w:tab w:val="left" w:pos="510"/>
          <w:tab w:val="left" w:pos="1077"/>
          <w:tab w:val="left" w:pos="1797"/>
        </w:tabs>
        <w:spacing w:after="0" w:line="240" w:lineRule="auto"/>
        <w:ind w:left="510" w:hanging="510"/>
        <w:contextualSpacing/>
        <w:jc w:val="both"/>
        <w:rPr>
          <w:rFonts w:ascii="Arial" w:eastAsia="Calibri" w:hAnsi="Arial" w:cs="Arial"/>
          <w:sz w:val="24"/>
          <w:szCs w:val="24"/>
        </w:rPr>
      </w:pPr>
      <w:r>
        <w:rPr>
          <w:rFonts w:ascii="Arial" w:eastAsia="Calibri" w:hAnsi="Arial" w:cs="Arial"/>
          <w:sz w:val="24"/>
          <w:szCs w:val="24"/>
        </w:rPr>
        <w:lastRenderedPageBreak/>
        <w:t>29.</w:t>
      </w:r>
      <w:r>
        <w:rPr>
          <w:rFonts w:ascii="Arial" w:eastAsia="Calibri" w:hAnsi="Arial" w:cs="Arial"/>
          <w:sz w:val="24"/>
          <w:szCs w:val="24"/>
        </w:rPr>
        <w:tab/>
      </w:r>
      <w:r w:rsidR="00861EBF" w:rsidRPr="00565933">
        <w:rPr>
          <w:rFonts w:ascii="Arial" w:eastAsia="Calibri" w:hAnsi="Arial" w:cs="Arial"/>
          <w:sz w:val="24"/>
          <w:szCs w:val="24"/>
        </w:rPr>
        <w:t>As always, I caution the claimant that success before me on a point of law is no indication of what the result will be at the fresh tribunal, which is examining the facts.</w:t>
      </w:r>
    </w:p>
    <w:p w14:paraId="17877B17" w14:textId="3089121D" w:rsidR="00505050" w:rsidRDefault="00BC55A5" w:rsidP="009A52CF">
      <w:pPr>
        <w:tabs>
          <w:tab w:val="left" w:pos="510"/>
          <w:tab w:val="left" w:pos="1077"/>
          <w:tab w:val="left" w:pos="1797"/>
        </w:tabs>
        <w:spacing w:after="0" w:line="240" w:lineRule="auto"/>
        <w:contextualSpacing/>
        <w:rPr>
          <w:rFonts w:ascii="Arial" w:hAnsi="Arial" w:cs="Arial"/>
          <w:bCs/>
          <w:noProof/>
          <w:color w:val="000000"/>
          <w:sz w:val="24"/>
          <w:szCs w:val="24"/>
        </w:rPr>
      </w:pPr>
      <w:r w:rsidRPr="00565933">
        <w:rPr>
          <w:rFonts w:ascii="Arial" w:hAnsi="Arial" w:cs="Arial"/>
          <w:noProof/>
          <w:color w:val="000000"/>
          <w:sz w:val="24"/>
          <w:szCs w:val="24"/>
        </w:rPr>
        <w:drawing>
          <wp:anchor distT="0" distB="0" distL="114300" distR="114300" simplePos="0" relativeHeight="251659264" behindDoc="1" locked="0" layoutInCell="1" allowOverlap="1" wp14:anchorId="14AE5F47" wp14:editId="368080BA">
            <wp:simplePos x="0" y="0"/>
            <wp:positionH relativeFrom="margin">
              <wp:posOffset>47625</wp:posOffset>
            </wp:positionH>
            <wp:positionV relativeFrom="page">
              <wp:posOffset>1511935</wp:posOffset>
            </wp:positionV>
            <wp:extent cx="2314575" cy="704850"/>
            <wp:effectExtent l="0" t="0" r="9525" b="0"/>
            <wp:wrapNone/>
            <wp:docPr id="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atu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51A22" w14:textId="6E392429" w:rsidR="00BC55A5" w:rsidRDefault="00BC55A5" w:rsidP="009A52CF">
      <w:pPr>
        <w:tabs>
          <w:tab w:val="left" w:pos="510"/>
          <w:tab w:val="left" w:pos="1077"/>
          <w:tab w:val="left" w:pos="1797"/>
        </w:tabs>
        <w:spacing w:after="0" w:line="240" w:lineRule="auto"/>
        <w:contextualSpacing/>
        <w:rPr>
          <w:rFonts w:ascii="Arial" w:hAnsi="Arial" w:cs="Arial"/>
          <w:bCs/>
          <w:noProof/>
          <w:color w:val="000000"/>
          <w:sz w:val="24"/>
          <w:szCs w:val="24"/>
        </w:rPr>
      </w:pPr>
    </w:p>
    <w:p w14:paraId="58F28A2F" w14:textId="77777777" w:rsidR="00BC55A5" w:rsidRPr="00364A6F" w:rsidRDefault="00BC55A5" w:rsidP="009A52CF">
      <w:pPr>
        <w:tabs>
          <w:tab w:val="left" w:pos="510"/>
          <w:tab w:val="left" w:pos="1077"/>
          <w:tab w:val="left" w:pos="1797"/>
        </w:tabs>
        <w:spacing w:after="0" w:line="240" w:lineRule="auto"/>
        <w:contextualSpacing/>
        <w:rPr>
          <w:rFonts w:ascii="Arial" w:hAnsi="Arial" w:cs="Arial"/>
          <w:bCs/>
          <w:noProof/>
          <w:color w:val="000000"/>
          <w:sz w:val="24"/>
          <w:szCs w:val="24"/>
        </w:rPr>
      </w:pPr>
    </w:p>
    <w:p w14:paraId="1A325B7E" w14:textId="3A348ABB" w:rsidR="00505050" w:rsidRPr="00565933" w:rsidRDefault="00505050" w:rsidP="009A52CF">
      <w:pPr>
        <w:tabs>
          <w:tab w:val="left" w:pos="510"/>
          <w:tab w:val="left" w:pos="1077"/>
          <w:tab w:val="left" w:pos="1797"/>
        </w:tabs>
        <w:spacing w:after="0" w:line="240" w:lineRule="auto"/>
        <w:contextualSpacing/>
        <w:rPr>
          <w:rFonts w:ascii="Arial" w:hAnsi="Arial" w:cs="Arial"/>
          <w:noProof/>
          <w:color w:val="000000"/>
          <w:sz w:val="24"/>
          <w:szCs w:val="24"/>
        </w:rPr>
      </w:pPr>
    </w:p>
    <w:p w14:paraId="1626A199" w14:textId="2D9D915D" w:rsidR="00505050" w:rsidRDefault="00505050" w:rsidP="009A52CF">
      <w:pPr>
        <w:tabs>
          <w:tab w:val="left" w:pos="510"/>
          <w:tab w:val="left" w:pos="1077"/>
          <w:tab w:val="left" w:pos="1797"/>
        </w:tabs>
        <w:spacing w:after="0" w:line="240" w:lineRule="auto"/>
        <w:contextualSpacing/>
        <w:rPr>
          <w:rFonts w:ascii="Arial" w:hAnsi="Arial" w:cs="Arial"/>
          <w:color w:val="000000"/>
          <w:sz w:val="24"/>
          <w:szCs w:val="24"/>
          <w:shd w:val="clear" w:color="auto" w:fill="FFFFFF"/>
        </w:rPr>
      </w:pPr>
      <w:bookmarkStart w:id="0" w:name="_Hlk137825821"/>
      <w:r w:rsidRPr="00565933">
        <w:rPr>
          <w:rFonts w:ascii="Arial" w:hAnsi="Arial" w:cs="Arial"/>
          <w:color w:val="000000"/>
          <w:sz w:val="24"/>
          <w:szCs w:val="24"/>
          <w:shd w:val="clear" w:color="auto" w:fill="FFFFFF"/>
        </w:rPr>
        <w:t>(signed)</w:t>
      </w:r>
      <w:r w:rsidR="00364A6F">
        <w:rPr>
          <w:rFonts w:ascii="Arial" w:hAnsi="Arial" w:cs="Arial"/>
          <w:color w:val="000000"/>
          <w:sz w:val="24"/>
          <w:szCs w:val="24"/>
          <w:shd w:val="clear" w:color="auto" w:fill="FFFFFF"/>
        </w:rPr>
        <w:t xml:space="preserve">;  </w:t>
      </w:r>
      <w:r w:rsidR="00790392" w:rsidRPr="00565933">
        <w:rPr>
          <w:rFonts w:ascii="Arial" w:hAnsi="Arial" w:cs="Arial"/>
          <w:b/>
          <w:bCs/>
          <w:color w:val="000000"/>
          <w:sz w:val="24"/>
          <w:szCs w:val="24"/>
          <w:shd w:val="clear" w:color="auto" w:fill="FFFFFF"/>
        </w:rPr>
        <w:tab/>
      </w:r>
      <w:r w:rsidRPr="00364A6F">
        <w:rPr>
          <w:rFonts w:ascii="Arial" w:hAnsi="Arial" w:cs="Arial"/>
          <w:color w:val="000000"/>
          <w:sz w:val="24"/>
          <w:szCs w:val="24"/>
          <w:shd w:val="clear" w:color="auto" w:fill="FFFFFF"/>
        </w:rPr>
        <w:t>P Gray</w:t>
      </w:r>
    </w:p>
    <w:p w14:paraId="3675E855" w14:textId="67CDEBDE" w:rsidR="00364A6F" w:rsidRPr="00364A6F" w:rsidRDefault="00364A6F" w:rsidP="009A52CF">
      <w:pPr>
        <w:tabs>
          <w:tab w:val="left" w:pos="510"/>
          <w:tab w:val="left" w:pos="1077"/>
          <w:tab w:val="left" w:pos="1797"/>
        </w:tabs>
        <w:spacing w:after="0" w:line="240" w:lineRule="auto"/>
        <w:contextualSpacing/>
        <w:rPr>
          <w:rFonts w:ascii="Arial" w:hAnsi="Arial" w:cs="Arial"/>
          <w:color w:val="000000"/>
          <w:sz w:val="24"/>
          <w:szCs w:val="24"/>
          <w:shd w:val="clear" w:color="auto" w:fill="FFFFFF"/>
        </w:rPr>
      </w:pPr>
    </w:p>
    <w:p w14:paraId="221C91EF" w14:textId="652B5A82" w:rsidR="00505050" w:rsidRPr="00364A6F" w:rsidRDefault="00505050" w:rsidP="009A52CF">
      <w:pPr>
        <w:tabs>
          <w:tab w:val="left" w:pos="510"/>
          <w:tab w:val="left" w:pos="1077"/>
          <w:tab w:val="left" w:pos="1797"/>
        </w:tabs>
        <w:spacing w:after="0" w:line="240" w:lineRule="auto"/>
        <w:contextualSpacing/>
        <w:rPr>
          <w:rFonts w:ascii="Arial" w:hAnsi="Arial" w:cs="Arial"/>
          <w:color w:val="000000"/>
          <w:sz w:val="24"/>
          <w:szCs w:val="24"/>
          <w:shd w:val="clear" w:color="auto" w:fill="FFFFFF"/>
        </w:rPr>
      </w:pPr>
      <w:r w:rsidRPr="00364A6F">
        <w:rPr>
          <w:rFonts w:ascii="Arial" w:hAnsi="Arial" w:cs="Arial"/>
          <w:color w:val="000000"/>
          <w:sz w:val="24"/>
          <w:szCs w:val="24"/>
          <w:shd w:val="clear" w:color="auto" w:fill="FFFFFF"/>
        </w:rPr>
        <w:t>Deputy Commissioner (NI)</w:t>
      </w:r>
    </w:p>
    <w:p w14:paraId="43150BBB" w14:textId="77777777" w:rsidR="00505050" w:rsidRPr="00364A6F" w:rsidRDefault="00505050" w:rsidP="009A52CF">
      <w:pPr>
        <w:tabs>
          <w:tab w:val="left" w:pos="510"/>
          <w:tab w:val="left" w:pos="1077"/>
          <w:tab w:val="left" w:pos="1797"/>
        </w:tabs>
        <w:spacing w:after="0" w:line="240" w:lineRule="auto"/>
        <w:contextualSpacing/>
        <w:rPr>
          <w:rFonts w:ascii="Arial" w:hAnsi="Arial" w:cs="Arial"/>
          <w:color w:val="000000"/>
          <w:sz w:val="24"/>
          <w:szCs w:val="24"/>
          <w:shd w:val="clear" w:color="auto" w:fill="FFFFFF"/>
        </w:rPr>
      </w:pPr>
    </w:p>
    <w:p w14:paraId="7603E99B" w14:textId="77777777" w:rsidR="00505050" w:rsidRPr="00565933" w:rsidRDefault="00505050" w:rsidP="009A52CF">
      <w:pPr>
        <w:tabs>
          <w:tab w:val="left" w:pos="510"/>
          <w:tab w:val="left" w:pos="1077"/>
          <w:tab w:val="left" w:pos="1797"/>
        </w:tabs>
        <w:spacing w:after="0" w:line="240" w:lineRule="auto"/>
        <w:contextualSpacing/>
        <w:rPr>
          <w:rFonts w:ascii="Arial" w:hAnsi="Arial" w:cs="Arial"/>
          <w:color w:val="000000"/>
          <w:sz w:val="24"/>
          <w:szCs w:val="24"/>
          <w:shd w:val="clear" w:color="auto" w:fill="FFFFFF"/>
        </w:rPr>
      </w:pPr>
    </w:p>
    <w:bookmarkEnd w:id="0"/>
    <w:p w14:paraId="739795E0" w14:textId="1B1F66E4" w:rsidR="0019576D" w:rsidRPr="00565933" w:rsidRDefault="00DB0F92" w:rsidP="009A52CF">
      <w:pPr>
        <w:tabs>
          <w:tab w:val="left" w:pos="510"/>
          <w:tab w:val="left" w:pos="1077"/>
          <w:tab w:val="left" w:pos="1797"/>
        </w:tabs>
        <w:spacing w:after="0" w:line="240" w:lineRule="auto"/>
        <w:contextualSpacing/>
        <w:rPr>
          <w:rFonts w:ascii="Arial" w:hAnsi="Arial" w:cs="Arial"/>
          <w:sz w:val="24"/>
          <w:szCs w:val="24"/>
        </w:rPr>
      </w:pPr>
      <w:r w:rsidRPr="00565933">
        <w:rPr>
          <w:rFonts w:ascii="Arial" w:hAnsi="Arial" w:cs="Arial"/>
          <w:color w:val="000000"/>
          <w:sz w:val="24"/>
          <w:szCs w:val="24"/>
          <w:shd w:val="clear" w:color="auto" w:fill="FFFFFF"/>
        </w:rPr>
        <w:t>27 March 2024</w:t>
      </w:r>
    </w:p>
    <w:sectPr w:rsidR="0019576D" w:rsidRPr="00565933" w:rsidSect="002E0314">
      <w:footerReference w:type="default" r:id="rId11"/>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30CE" w14:textId="77777777" w:rsidR="002E0314" w:rsidRDefault="002E0314">
      <w:pPr>
        <w:spacing w:after="0" w:line="240" w:lineRule="auto"/>
      </w:pPr>
      <w:r>
        <w:separator/>
      </w:r>
    </w:p>
  </w:endnote>
  <w:endnote w:type="continuationSeparator" w:id="0">
    <w:p w14:paraId="15FFE92F" w14:textId="77777777" w:rsidR="002E0314" w:rsidRDefault="002E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175539967"/>
      <w:docPartObj>
        <w:docPartGallery w:val="Page Numbers (Bottom of Page)"/>
        <w:docPartUnique/>
      </w:docPartObj>
    </w:sdtPr>
    <w:sdtEndPr>
      <w:rPr>
        <w:noProof/>
      </w:rPr>
    </w:sdtEndPr>
    <w:sdtContent>
      <w:p w14:paraId="039F0044" w14:textId="77777777" w:rsidR="0019576D" w:rsidRPr="009A52CF" w:rsidRDefault="009624D5">
        <w:pPr>
          <w:pStyle w:val="Footer"/>
          <w:jc w:val="center"/>
          <w:rPr>
            <w:rFonts w:ascii="Arial" w:hAnsi="Arial" w:cs="Arial"/>
            <w:sz w:val="24"/>
            <w:szCs w:val="24"/>
          </w:rPr>
        </w:pPr>
        <w:r w:rsidRPr="009A52CF">
          <w:rPr>
            <w:rFonts w:ascii="Arial" w:hAnsi="Arial" w:cs="Arial"/>
            <w:sz w:val="24"/>
            <w:szCs w:val="24"/>
          </w:rPr>
          <w:fldChar w:fldCharType="begin"/>
        </w:r>
        <w:r w:rsidRPr="009A52CF">
          <w:rPr>
            <w:rFonts w:ascii="Arial" w:hAnsi="Arial" w:cs="Arial"/>
            <w:sz w:val="24"/>
            <w:szCs w:val="24"/>
          </w:rPr>
          <w:instrText xml:space="preserve"> PAGE   \* MERGEFORMAT </w:instrText>
        </w:r>
        <w:r w:rsidRPr="009A52CF">
          <w:rPr>
            <w:rFonts w:ascii="Arial" w:hAnsi="Arial" w:cs="Arial"/>
            <w:sz w:val="24"/>
            <w:szCs w:val="24"/>
          </w:rPr>
          <w:fldChar w:fldCharType="separate"/>
        </w:r>
        <w:r w:rsidRPr="009A52CF">
          <w:rPr>
            <w:rFonts w:ascii="Arial" w:hAnsi="Arial" w:cs="Arial"/>
            <w:noProof/>
            <w:sz w:val="24"/>
            <w:szCs w:val="24"/>
          </w:rPr>
          <w:t>2</w:t>
        </w:r>
        <w:r w:rsidRPr="009A52C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1C73" w14:textId="77777777" w:rsidR="002E0314" w:rsidRDefault="002E0314">
      <w:pPr>
        <w:spacing w:after="0" w:line="240" w:lineRule="auto"/>
      </w:pPr>
      <w:r>
        <w:separator/>
      </w:r>
    </w:p>
  </w:footnote>
  <w:footnote w:type="continuationSeparator" w:id="0">
    <w:p w14:paraId="7840F3E7" w14:textId="77777777" w:rsidR="002E0314" w:rsidRDefault="002E0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C33"/>
    <w:multiLevelType w:val="hybridMultilevel"/>
    <w:tmpl w:val="D38422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3BF2796"/>
    <w:multiLevelType w:val="hybridMultilevel"/>
    <w:tmpl w:val="59BC111E"/>
    <w:lvl w:ilvl="0" w:tplc="5226D0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213FAF"/>
    <w:multiLevelType w:val="hybridMultilevel"/>
    <w:tmpl w:val="743217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E744A8D"/>
    <w:multiLevelType w:val="hybridMultilevel"/>
    <w:tmpl w:val="19E2694E"/>
    <w:lvl w:ilvl="0" w:tplc="2D56B9F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195ECC"/>
    <w:multiLevelType w:val="hybridMultilevel"/>
    <w:tmpl w:val="180CD0C8"/>
    <w:lvl w:ilvl="0" w:tplc="0DA6E1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96B5ED4"/>
    <w:multiLevelType w:val="hybridMultilevel"/>
    <w:tmpl w:val="F5E4C716"/>
    <w:lvl w:ilvl="0" w:tplc="440839D0">
      <w:start w:val="1"/>
      <w:numFmt w:val="decimal"/>
      <w:lvlText w:val="%1."/>
      <w:lvlJc w:val="left"/>
      <w:pPr>
        <w:ind w:left="720" w:hanging="360"/>
      </w:pPr>
      <w:rPr>
        <w:rFonts w:hint="default"/>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743215"/>
    <w:multiLevelType w:val="hybridMultilevel"/>
    <w:tmpl w:val="1578F07E"/>
    <w:lvl w:ilvl="0" w:tplc="F8F09CB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8C2BB0"/>
    <w:multiLevelType w:val="hybridMultilevel"/>
    <w:tmpl w:val="0C687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A850EB"/>
    <w:multiLevelType w:val="hybridMultilevel"/>
    <w:tmpl w:val="20466C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9C86F4B"/>
    <w:multiLevelType w:val="hybridMultilevel"/>
    <w:tmpl w:val="6F6269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02846607">
    <w:abstractNumId w:val="5"/>
  </w:num>
  <w:num w:numId="2" w16cid:durableId="914242511">
    <w:abstractNumId w:val="7"/>
  </w:num>
  <w:num w:numId="3" w16cid:durableId="801457576">
    <w:abstractNumId w:val="1"/>
  </w:num>
  <w:num w:numId="4" w16cid:durableId="531040285">
    <w:abstractNumId w:val="6"/>
  </w:num>
  <w:num w:numId="5" w16cid:durableId="258368275">
    <w:abstractNumId w:val="3"/>
  </w:num>
  <w:num w:numId="6" w16cid:durableId="1902716149">
    <w:abstractNumId w:val="4"/>
  </w:num>
  <w:num w:numId="7" w16cid:durableId="39408026">
    <w:abstractNumId w:val="8"/>
  </w:num>
  <w:num w:numId="8" w16cid:durableId="1955818216">
    <w:abstractNumId w:val="0"/>
  </w:num>
  <w:num w:numId="9" w16cid:durableId="1770346244">
    <w:abstractNumId w:val="2"/>
  </w:num>
  <w:num w:numId="10" w16cid:durableId="1470900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BF"/>
    <w:rsid w:val="00006A17"/>
    <w:rsid w:val="00026978"/>
    <w:rsid w:val="0007503B"/>
    <w:rsid w:val="000F3C87"/>
    <w:rsid w:val="00107AF2"/>
    <w:rsid w:val="001929A3"/>
    <w:rsid w:val="0019576D"/>
    <w:rsid w:val="00201384"/>
    <w:rsid w:val="00243843"/>
    <w:rsid w:val="002C4CE3"/>
    <w:rsid w:val="002E0314"/>
    <w:rsid w:val="002E2CA3"/>
    <w:rsid w:val="00332181"/>
    <w:rsid w:val="00335323"/>
    <w:rsid w:val="00364A6F"/>
    <w:rsid w:val="003823DE"/>
    <w:rsid w:val="00415D0B"/>
    <w:rsid w:val="004175F1"/>
    <w:rsid w:val="00465E77"/>
    <w:rsid w:val="004B3088"/>
    <w:rsid w:val="004C2559"/>
    <w:rsid w:val="004C302A"/>
    <w:rsid w:val="004E05BC"/>
    <w:rsid w:val="004E3697"/>
    <w:rsid w:val="004F7541"/>
    <w:rsid w:val="00500DCF"/>
    <w:rsid w:val="00505050"/>
    <w:rsid w:val="00565933"/>
    <w:rsid w:val="005D17E9"/>
    <w:rsid w:val="00610DA1"/>
    <w:rsid w:val="00642619"/>
    <w:rsid w:val="006B412B"/>
    <w:rsid w:val="006D2FAE"/>
    <w:rsid w:val="006E50E6"/>
    <w:rsid w:val="006F2B8D"/>
    <w:rsid w:val="006F4924"/>
    <w:rsid w:val="007527B5"/>
    <w:rsid w:val="007561B3"/>
    <w:rsid w:val="00790392"/>
    <w:rsid w:val="007B551F"/>
    <w:rsid w:val="00824470"/>
    <w:rsid w:val="00833AF5"/>
    <w:rsid w:val="00835C4F"/>
    <w:rsid w:val="00861EBF"/>
    <w:rsid w:val="00951176"/>
    <w:rsid w:val="009624D5"/>
    <w:rsid w:val="009773AA"/>
    <w:rsid w:val="00986E84"/>
    <w:rsid w:val="009A52CF"/>
    <w:rsid w:val="009D7CEA"/>
    <w:rsid w:val="009F15E2"/>
    <w:rsid w:val="009F6D3B"/>
    <w:rsid w:val="00A02808"/>
    <w:rsid w:val="00A70DB1"/>
    <w:rsid w:val="00A92F5C"/>
    <w:rsid w:val="00AE3A58"/>
    <w:rsid w:val="00B525C4"/>
    <w:rsid w:val="00B90028"/>
    <w:rsid w:val="00B92B5F"/>
    <w:rsid w:val="00BA015C"/>
    <w:rsid w:val="00BC55A5"/>
    <w:rsid w:val="00BE2A5B"/>
    <w:rsid w:val="00C25FB1"/>
    <w:rsid w:val="00C81D45"/>
    <w:rsid w:val="00D63ADD"/>
    <w:rsid w:val="00D86014"/>
    <w:rsid w:val="00DB0F92"/>
    <w:rsid w:val="00DC0D97"/>
    <w:rsid w:val="00E30272"/>
    <w:rsid w:val="00E750A5"/>
    <w:rsid w:val="00F84C02"/>
    <w:rsid w:val="00FE2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9AB2"/>
  <w15:chartTrackingRefBased/>
  <w15:docId w15:val="{EAE203E4-C14A-4840-8978-8CE578F4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EBF"/>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61EBF"/>
    <w:rPr>
      <w:rFonts w:ascii="Calibri" w:eastAsia="Calibri" w:hAnsi="Calibri" w:cs="Times New Roman"/>
    </w:rPr>
  </w:style>
  <w:style w:type="paragraph" w:styleId="ListParagraph">
    <w:name w:val="List Paragraph"/>
    <w:basedOn w:val="Normal"/>
    <w:uiPriority w:val="34"/>
    <w:qFormat/>
    <w:rsid w:val="002C4CE3"/>
    <w:pPr>
      <w:ind w:left="720"/>
      <w:contextualSpacing/>
    </w:pPr>
  </w:style>
  <w:style w:type="character" w:styleId="Hyperlink">
    <w:name w:val="Hyperlink"/>
    <w:basedOn w:val="DefaultParagraphFont"/>
    <w:uiPriority w:val="99"/>
    <w:unhideWhenUsed/>
    <w:rsid w:val="006F2B8D"/>
    <w:rPr>
      <w:color w:val="0563C1" w:themeColor="hyperlink"/>
      <w:u w:val="single"/>
    </w:rPr>
  </w:style>
  <w:style w:type="character" w:styleId="UnresolvedMention">
    <w:name w:val="Unresolved Mention"/>
    <w:basedOn w:val="DefaultParagraphFont"/>
    <w:uiPriority w:val="99"/>
    <w:semiHidden/>
    <w:unhideWhenUsed/>
    <w:rsid w:val="006F2B8D"/>
    <w:rPr>
      <w:color w:val="605E5C"/>
      <w:shd w:val="clear" w:color="auto" w:fill="E1DFDD"/>
    </w:rPr>
  </w:style>
  <w:style w:type="paragraph" w:styleId="Header">
    <w:name w:val="header"/>
    <w:basedOn w:val="Normal"/>
    <w:link w:val="HeaderChar"/>
    <w:uiPriority w:val="99"/>
    <w:unhideWhenUsed/>
    <w:rsid w:val="009A5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17" ma:contentTypeDescription="Create a new document." ma:contentTypeScope="" ma:versionID="deed857b4c7371c410b7895868c1dd3c">
  <xsd:schema xmlns:xsd="http://www.w3.org/2001/XMLSchema" xmlns:xs="http://www.w3.org/2001/XMLSchema" xmlns:p="http://schemas.microsoft.com/office/2006/metadata/properties" xmlns:ns3="9584949f-143b-4263-a10f-a8f1b74bb921" xmlns:ns4="14a266ed-3207-46c6-a07d-f81477979f14" targetNamespace="http://schemas.microsoft.com/office/2006/metadata/properties" ma:root="true" ma:fieldsID="c64fcc1da00e55a3e748865fa542825f" ns3:_="" ns4:_="">
    <xsd:import namespace="9584949f-143b-4263-a10f-a8f1b74bb921"/>
    <xsd:import namespace="14a266ed-3207-46c6-a07d-f81477979f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4949f-143b-4263-a10f-a8f1b74bb9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a266ed-3207-46c6-a07d-f81477979f14" xsi:nil="true"/>
  </documentManagement>
</p:properties>
</file>

<file path=customXml/itemProps1.xml><?xml version="1.0" encoding="utf-8"?>
<ds:datastoreItem xmlns:ds="http://schemas.openxmlformats.org/officeDocument/2006/customXml" ds:itemID="{ED835E9E-D44C-47C3-83D0-28FB42305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4949f-143b-4263-a10f-a8f1b74bb921"/>
    <ds:schemaRef ds:uri="14a266ed-3207-46c6-a07d-f81477979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8A1BB-5474-41F6-B3F0-FB070C59164C}">
  <ds:schemaRefs>
    <ds:schemaRef ds:uri="http://schemas.microsoft.com/sharepoint/v3/contenttype/forms"/>
  </ds:schemaRefs>
</ds:datastoreItem>
</file>

<file path=customXml/itemProps3.xml><?xml version="1.0" encoding="utf-8"?>
<ds:datastoreItem xmlns:ds="http://schemas.openxmlformats.org/officeDocument/2006/customXml" ds:itemID="{7FBF77EF-7FFD-48EE-982E-48F400B4E610}">
  <ds:schemaRefs>
    <ds:schemaRef ds:uri="http://schemas.microsoft.com/office/2006/metadata/properties"/>
    <ds:schemaRef ds:uri="http://schemas.microsoft.com/office/infopath/2007/PartnerControls"/>
    <ds:schemaRef ds:uri="14a266ed-3207-46c6-a07d-f81477979f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2011</Words>
  <Characters>9652</Characters>
  <Application>Microsoft Office Word</Application>
  <DocSecurity>0</DocSecurity>
  <Lines>256</Lines>
  <Paragraphs>57</Paragraphs>
  <ScaleCrop>false</ScaleCrop>
  <HeadingPairs>
    <vt:vector size="2" baseType="variant">
      <vt:variant>
        <vt:lpstr>Title</vt:lpstr>
      </vt:variant>
      <vt:variant>
        <vt:i4>1</vt:i4>
      </vt:variant>
    </vt:vector>
  </HeadingPairs>
  <TitlesOfParts>
    <vt:vector size="1" baseType="lpstr">
      <vt:lpstr>C22/23-24 (PIP)</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C22/23-24 (PIP)</dc:title>
  <dc:subject/>
  <dc:creator>Bowman, Marie</dc:creator>
  <cp:keywords/>
  <dc:description/>
  <cp:lastModifiedBy>Clements, David</cp:lastModifiedBy>
  <cp:revision>4</cp:revision>
  <dcterms:created xsi:type="dcterms:W3CDTF">2024-03-29T10:46:00Z</dcterms:created>
  <dcterms:modified xsi:type="dcterms:W3CDTF">2024-04-11T08:30:00Z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