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ADA0" w14:textId="77777777" w:rsidR="00E32639" w:rsidRPr="003B1198" w:rsidRDefault="00E32639" w:rsidP="003B1198">
      <w:pPr>
        <w:spacing w:after="0" w:line="240" w:lineRule="auto"/>
        <w:jc w:val="right"/>
        <w:rPr>
          <w:rFonts w:ascii="Arial" w:eastAsia="Times New Roman" w:hAnsi="Arial" w:cs="Arial"/>
          <w:kern w:val="0"/>
          <w:sz w:val="24"/>
          <w:szCs w:val="24"/>
        </w:rPr>
      </w:pPr>
      <w:r w:rsidRPr="003B1198">
        <w:rPr>
          <w:rFonts w:ascii="Arial" w:eastAsia="Times New Roman" w:hAnsi="Arial" w:cs="Arial"/>
          <w:kern w:val="0"/>
          <w:sz w:val="24"/>
          <w:szCs w:val="24"/>
          <w:lang w:val="en-US"/>
        </w:rPr>
        <w:t>MN-v-Department for Communities (UC) [2025] NICom 10</w:t>
      </w:r>
    </w:p>
    <w:p w14:paraId="6DC4BE7F" w14:textId="77777777" w:rsidR="00E32639" w:rsidRPr="003B1198" w:rsidRDefault="00E32639" w:rsidP="003B1198">
      <w:pPr>
        <w:spacing w:after="0" w:line="240" w:lineRule="auto"/>
        <w:rPr>
          <w:rFonts w:ascii="Arial" w:eastAsia="Times New Roman" w:hAnsi="Arial" w:cs="Arial"/>
          <w:kern w:val="0"/>
          <w:sz w:val="24"/>
          <w:szCs w:val="24"/>
          <w:lang w:val="en-US"/>
        </w:rPr>
      </w:pPr>
    </w:p>
    <w:p w14:paraId="64988038" w14:textId="4A85FCE4" w:rsidR="00E32639" w:rsidRPr="003B1198" w:rsidRDefault="00E32639" w:rsidP="003B1198">
      <w:pPr>
        <w:spacing w:after="0" w:line="240" w:lineRule="auto"/>
        <w:jc w:val="right"/>
        <w:rPr>
          <w:rFonts w:ascii="Arial" w:eastAsia="Times New Roman" w:hAnsi="Arial" w:cs="Arial"/>
          <w:kern w:val="0"/>
          <w:sz w:val="24"/>
          <w:szCs w:val="24"/>
          <w:lang w:val="en-US"/>
        </w:rPr>
      </w:pPr>
      <w:r w:rsidRPr="003B1198">
        <w:rPr>
          <w:rFonts w:ascii="Arial" w:eastAsia="Times New Roman" w:hAnsi="Arial" w:cs="Arial"/>
          <w:kern w:val="0"/>
          <w:sz w:val="24"/>
          <w:szCs w:val="24"/>
          <w:lang w:val="en-US"/>
        </w:rPr>
        <w:t xml:space="preserve">Decision No: </w:t>
      </w:r>
      <w:r w:rsidR="003B1198">
        <w:rPr>
          <w:rFonts w:ascii="Arial" w:eastAsia="Times New Roman" w:hAnsi="Arial" w:cs="Arial"/>
          <w:kern w:val="0"/>
          <w:sz w:val="24"/>
          <w:szCs w:val="24"/>
          <w:lang w:val="en-US"/>
        </w:rPr>
        <w:t xml:space="preserve"> </w:t>
      </w:r>
      <w:r w:rsidRPr="003B1198">
        <w:rPr>
          <w:rFonts w:ascii="Arial" w:eastAsia="Times New Roman" w:hAnsi="Arial" w:cs="Arial"/>
          <w:kern w:val="0"/>
          <w:sz w:val="24"/>
          <w:szCs w:val="24"/>
          <w:lang w:val="en-US"/>
        </w:rPr>
        <w:t>C9/24-25(UC)</w:t>
      </w:r>
    </w:p>
    <w:p w14:paraId="3346A6AD" w14:textId="77777777" w:rsidR="00E32639" w:rsidRDefault="00E32639" w:rsidP="003B1198">
      <w:pPr>
        <w:spacing w:after="0" w:line="240" w:lineRule="auto"/>
        <w:rPr>
          <w:rFonts w:ascii="Arial" w:eastAsia="Times New Roman" w:hAnsi="Arial" w:cs="Arial"/>
          <w:kern w:val="0"/>
          <w:sz w:val="24"/>
          <w:szCs w:val="24"/>
          <w:lang w:val="en-US"/>
        </w:rPr>
      </w:pPr>
    </w:p>
    <w:p w14:paraId="6828C0C2" w14:textId="77777777" w:rsidR="003B1198" w:rsidRPr="003B1198" w:rsidRDefault="003B1198" w:rsidP="003B1198">
      <w:pPr>
        <w:spacing w:after="0" w:line="240" w:lineRule="auto"/>
        <w:rPr>
          <w:rFonts w:ascii="Arial" w:eastAsia="Times New Roman" w:hAnsi="Arial" w:cs="Arial"/>
          <w:kern w:val="0"/>
          <w:sz w:val="24"/>
          <w:szCs w:val="24"/>
          <w:lang w:val="en-US"/>
        </w:rPr>
      </w:pPr>
    </w:p>
    <w:p w14:paraId="38750075" w14:textId="77777777" w:rsidR="00E32639" w:rsidRPr="003B1198" w:rsidRDefault="00E32639" w:rsidP="003B1198">
      <w:pPr>
        <w:spacing w:after="0" w:line="240" w:lineRule="auto"/>
        <w:rPr>
          <w:rFonts w:ascii="Arial" w:eastAsia="Times New Roman" w:hAnsi="Arial" w:cs="Arial"/>
          <w:kern w:val="0"/>
          <w:sz w:val="24"/>
          <w:szCs w:val="24"/>
          <w:lang w:val="en-US"/>
        </w:rPr>
      </w:pPr>
    </w:p>
    <w:p w14:paraId="7B9F5886" w14:textId="77777777" w:rsidR="00E32639" w:rsidRPr="003B1198" w:rsidRDefault="00E32639" w:rsidP="006A5C2C">
      <w:pPr>
        <w:spacing w:after="0" w:line="240" w:lineRule="auto"/>
        <w:jc w:val="center"/>
        <w:rPr>
          <w:rFonts w:ascii="Arial" w:eastAsia="Times New Roman" w:hAnsi="Arial" w:cs="Arial"/>
          <w:kern w:val="0"/>
          <w:sz w:val="24"/>
          <w:szCs w:val="24"/>
          <w:lang w:val="en-US"/>
        </w:rPr>
      </w:pPr>
    </w:p>
    <w:p w14:paraId="2B140C95" w14:textId="77777777" w:rsidR="00E32639" w:rsidRPr="003B1198" w:rsidRDefault="00E32639" w:rsidP="006A5C2C">
      <w:pPr>
        <w:spacing w:after="0" w:line="240" w:lineRule="auto"/>
        <w:jc w:val="center"/>
        <w:rPr>
          <w:rFonts w:ascii="Arial" w:eastAsia="Times New Roman" w:hAnsi="Arial" w:cs="Arial"/>
          <w:b/>
          <w:bCs/>
          <w:spacing w:val="-3"/>
          <w:kern w:val="0"/>
          <w:sz w:val="24"/>
          <w:szCs w:val="24"/>
          <w:lang w:val="en-US"/>
        </w:rPr>
      </w:pPr>
      <w:r w:rsidRPr="003B1198">
        <w:rPr>
          <w:rFonts w:ascii="Arial" w:eastAsia="Times New Roman" w:hAnsi="Arial" w:cs="Arial"/>
          <w:b/>
          <w:bCs/>
          <w:spacing w:val="-3"/>
          <w:kern w:val="0"/>
          <w:sz w:val="24"/>
          <w:szCs w:val="24"/>
          <w:lang w:val="en-US"/>
        </w:rPr>
        <w:t>SOCIAL SECURITY ADMINISTRATION (NORTHERN IRELAND) ACT 1992</w:t>
      </w:r>
    </w:p>
    <w:p w14:paraId="3B338C5E" w14:textId="77777777" w:rsidR="00E32639" w:rsidRPr="003B1198" w:rsidRDefault="00E32639" w:rsidP="006A5C2C">
      <w:pPr>
        <w:spacing w:after="0" w:line="240" w:lineRule="auto"/>
        <w:jc w:val="center"/>
        <w:rPr>
          <w:rFonts w:ascii="Arial" w:eastAsia="Times New Roman" w:hAnsi="Arial" w:cs="Arial"/>
          <w:b/>
          <w:bCs/>
          <w:spacing w:val="-3"/>
          <w:kern w:val="0"/>
          <w:sz w:val="24"/>
          <w:szCs w:val="24"/>
          <w:lang w:val="en-US"/>
        </w:rPr>
      </w:pPr>
    </w:p>
    <w:p w14:paraId="439CBCA1" w14:textId="77777777" w:rsidR="00E32639" w:rsidRPr="003B1198" w:rsidRDefault="00E32639" w:rsidP="006A5C2C">
      <w:pPr>
        <w:spacing w:after="0" w:line="240" w:lineRule="auto"/>
        <w:jc w:val="center"/>
        <w:rPr>
          <w:rFonts w:ascii="Arial" w:eastAsia="Times New Roman" w:hAnsi="Arial" w:cs="Arial"/>
          <w:b/>
          <w:bCs/>
          <w:spacing w:val="-3"/>
          <w:kern w:val="0"/>
          <w:sz w:val="24"/>
          <w:szCs w:val="24"/>
          <w:lang w:val="en-US"/>
        </w:rPr>
      </w:pPr>
      <w:r w:rsidRPr="003B1198">
        <w:rPr>
          <w:rFonts w:ascii="Arial" w:eastAsia="Times New Roman" w:hAnsi="Arial" w:cs="Arial"/>
          <w:b/>
          <w:bCs/>
          <w:spacing w:val="-3"/>
          <w:kern w:val="0"/>
          <w:sz w:val="24"/>
          <w:szCs w:val="24"/>
          <w:lang w:val="en-US"/>
        </w:rPr>
        <w:t>SOCIAL SECURITY (NORTHERN IRELAND) ORDER 1998</w:t>
      </w:r>
    </w:p>
    <w:p w14:paraId="6EFD3517" w14:textId="77777777" w:rsidR="00E32639" w:rsidRPr="003B1198" w:rsidRDefault="00E32639" w:rsidP="006A5C2C">
      <w:pPr>
        <w:spacing w:after="0" w:line="240" w:lineRule="auto"/>
        <w:jc w:val="center"/>
        <w:rPr>
          <w:rFonts w:ascii="Arial" w:eastAsia="Times New Roman" w:hAnsi="Arial" w:cs="Arial"/>
          <w:b/>
          <w:bCs/>
          <w:spacing w:val="-3"/>
          <w:kern w:val="0"/>
          <w:sz w:val="24"/>
          <w:szCs w:val="24"/>
          <w:lang w:val="en-US"/>
        </w:rPr>
      </w:pPr>
    </w:p>
    <w:p w14:paraId="02EAB3F0" w14:textId="77777777" w:rsidR="00E32639" w:rsidRPr="003B1198" w:rsidRDefault="00E32639" w:rsidP="006A5C2C">
      <w:pPr>
        <w:spacing w:after="0" w:line="240" w:lineRule="auto"/>
        <w:jc w:val="center"/>
        <w:rPr>
          <w:rFonts w:ascii="Arial" w:eastAsia="Times New Roman" w:hAnsi="Arial" w:cs="Arial"/>
          <w:b/>
          <w:bCs/>
          <w:spacing w:val="-3"/>
          <w:kern w:val="0"/>
          <w:sz w:val="24"/>
          <w:szCs w:val="24"/>
          <w:lang w:val="en-US"/>
        </w:rPr>
      </w:pPr>
    </w:p>
    <w:p w14:paraId="0105A5FB" w14:textId="77777777" w:rsidR="00E32639" w:rsidRPr="003B1198" w:rsidRDefault="005A7763" w:rsidP="006A5C2C">
      <w:pPr>
        <w:spacing w:after="0" w:line="240" w:lineRule="auto"/>
        <w:jc w:val="center"/>
        <w:rPr>
          <w:rFonts w:ascii="Arial" w:eastAsia="Times New Roman" w:hAnsi="Arial" w:cs="Arial"/>
          <w:spacing w:val="-3"/>
          <w:kern w:val="0"/>
          <w:sz w:val="24"/>
          <w:szCs w:val="24"/>
          <w:u w:val="single"/>
          <w:lang w:val="en-US"/>
        </w:rPr>
      </w:pPr>
      <w:r w:rsidRPr="003B1198">
        <w:rPr>
          <w:rFonts w:ascii="Arial" w:eastAsia="Times New Roman" w:hAnsi="Arial" w:cs="Arial"/>
          <w:b/>
          <w:bCs/>
          <w:spacing w:val="-3"/>
          <w:kern w:val="0"/>
          <w:sz w:val="24"/>
          <w:szCs w:val="24"/>
          <w:u w:val="single"/>
          <w:lang w:val="en-US"/>
        </w:rPr>
        <w:t>UNIVERSAL CREDIT</w:t>
      </w:r>
    </w:p>
    <w:p w14:paraId="50BD2C9B" w14:textId="77777777" w:rsidR="00E32639" w:rsidRPr="003B1198" w:rsidRDefault="00E32639" w:rsidP="006A5C2C">
      <w:pPr>
        <w:spacing w:after="0" w:line="240" w:lineRule="auto"/>
        <w:jc w:val="center"/>
        <w:rPr>
          <w:rFonts w:ascii="Arial" w:eastAsia="Times New Roman" w:hAnsi="Arial" w:cs="Arial"/>
          <w:spacing w:val="-3"/>
          <w:kern w:val="0"/>
          <w:sz w:val="24"/>
          <w:szCs w:val="24"/>
          <w:lang w:val="en-US"/>
        </w:rPr>
      </w:pPr>
    </w:p>
    <w:p w14:paraId="04651D68" w14:textId="77777777" w:rsidR="00E32639" w:rsidRPr="003B1198" w:rsidRDefault="00E32639" w:rsidP="006A5C2C">
      <w:pPr>
        <w:spacing w:after="0" w:line="240" w:lineRule="auto"/>
        <w:jc w:val="center"/>
        <w:rPr>
          <w:rFonts w:ascii="Arial" w:eastAsia="Times New Roman" w:hAnsi="Arial" w:cs="Arial"/>
          <w:spacing w:val="-3"/>
          <w:kern w:val="0"/>
          <w:sz w:val="24"/>
          <w:szCs w:val="24"/>
          <w:lang w:val="en-US"/>
        </w:rPr>
      </w:pPr>
    </w:p>
    <w:p w14:paraId="3625E31E" w14:textId="77777777" w:rsidR="00E32639" w:rsidRPr="003B1198" w:rsidRDefault="00E32639" w:rsidP="006A5C2C">
      <w:pPr>
        <w:spacing w:after="0" w:line="240" w:lineRule="auto"/>
        <w:jc w:val="center"/>
        <w:rPr>
          <w:rFonts w:ascii="Arial" w:eastAsia="Times New Roman" w:hAnsi="Arial" w:cs="Arial"/>
          <w:spacing w:val="-3"/>
          <w:kern w:val="0"/>
          <w:sz w:val="24"/>
          <w:szCs w:val="24"/>
          <w:lang w:val="en-US"/>
        </w:rPr>
      </w:pPr>
      <w:r w:rsidRPr="003B1198">
        <w:rPr>
          <w:rFonts w:ascii="Arial" w:eastAsia="Times New Roman" w:hAnsi="Arial" w:cs="Arial"/>
          <w:spacing w:val="-3"/>
          <w:kern w:val="0"/>
          <w:sz w:val="24"/>
          <w:szCs w:val="24"/>
          <w:lang w:val="en-US"/>
        </w:rPr>
        <w:t>Application by the claimant for leave to appeal</w:t>
      </w:r>
    </w:p>
    <w:p w14:paraId="6686C28C" w14:textId="77777777" w:rsidR="00E32639" w:rsidRPr="003B1198" w:rsidRDefault="00E32639" w:rsidP="006A5C2C">
      <w:pPr>
        <w:spacing w:after="0" w:line="240" w:lineRule="auto"/>
        <w:jc w:val="center"/>
        <w:rPr>
          <w:rFonts w:ascii="Arial" w:eastAsia="Times New Roman" w:hAnsi="Arial" w:cs="Arial"/>
          <w:spacing w:val="-3"/>
          <w:kern w:val="0"/>
          <w:sz w:val="24"/>
          <w:szCs w:val="24"/>
          <w:lang w:val="en-US"/>
        </w:rPr>
      </w:pPr>
      <w:r w:rsidRPr="003B1198">
        <w:rPr>
          <w:rFonts w:ascii="Arial" w:eastAsia="Times New Roman" w:hAnsi="Arial" w:cs="Arial"/>
          <w:spacing w:val="-3"/>
          <w:kern w:val="0"/>
          <w:sz w:val="24"/>
          <w:szCs w:val="24"/>
          <w:lang w:val="en-US"/>
        </w:rPr>
        <w:t>and appeal to a Social Security Commissioner</w:t>
      </w:r>
    </w:p>
    <w:p w14:paraId="5AE26E18" w14:textId="77777777" w:rsidR="00E32639" w:rsidRPr="003B1198" w:rsidRDefault="00E32639" w:rsidP="006A5C2C">
      <w:pPr>
        <w:spacing w:after="0" w:line="240" w:lineRule="auto"/>
        <w:jc w:val="center"/>
        <w:rPr>
          <w:rFonts w:ascii="Arial" w:eastAsia="Times New Roman" w:hAnsi="Arial" w:cs="Arial"/>
          <w:spacing w:val="-3"/>
          <w:kern w:val="0"/>
          <w:sz w:val="24"/>
          <w:szCs w:val="24"/>
          <w:lang w:val="en-US"/>
        </w:rPr>
      </w:pPr>
      <w:r w:rsidRPr="003B1198">
        <w:rPr>
          <w:rFonts w:ascii="Arial" w:eastAsia="Times New Roman" w:hAnsi="Arial" w:cs="Arial"/>
          <w:spacing w:val="-3"/>
          <w:kern w:val="0"/>
          <w:sz w:val="24"/>
          <w:szCs w:val="24"/>
          <w:lang w:val="en-US"/>
        </w:rPr>
        <w:t>on a question of law from a Tribunal’s decision</w:t>
      </w:r>
    </w:p>
    <w:p w14:paraId="3BA66483" w14:textId="77777777" w:rsidR="00E32639" w:rsidRPr="003B1198" w:rsidRDefault="00E32639" w:rsidP="006A5C2C">
      <w:pPr>
        <w:spacing w:after="0" w:line="240" w:lineRule="auto"/>
        <w:jc w:val="center"/>
        <w:rPr>
          <w:rFonts w:ascii="Arial" w:eastAsia="Times New Roman" w:hAnsi="Arial" w:cs="Arial"/>
          <w:spacing w:val="-3"/>
          <w:kern w:val="0"/>
          <w:sz w:val="24"/>
          <w:szCs w:val="24"/>
          <w:lang w:val="en-US"/>
        </w:rPr>
      </w:pPr>
      <w:r w:rsidRPr="003B1198">
        <w:rPr>
          <w:rFonts w:ascii="Arial" w:eastAsia="Times New Roman" w:hAnsi="Arial" w:cs="Arial"/>
          <w:spacing w:val="-3"/>
          <w:kern w:val="0"/>
          <w:sz w:val="24"/>
          <w:szCs w:val="24"/>
          <w:lang w:val="en-US"/>
        </w:rPr>
        <w:t>dated 8 September 2023</w:t>
      </w:r>
    </w:p>
    <w:p w14:paraId="796ACE9A" w14:textId="77777777" w:rsidR="00E32639" w:rsidRPr="003B1198" w:rsidRDefault="00E32639" w:rsidP="006A5C2C">
      <w:pPr>
        <w:spacing w:after="0" w:line="240" w:lineRule="auto"/>
        <w:jc w:val="center"/>
        <w:rPr>
          <w:rFonts w:ascii="Arial" w:eastAsia="Times New Roman" w:hAnsi="Arial" w:cs="Arial"/>
          <w:spacing w:val="-3"/>
          <w:kern w:val="0"/>
          <w:sz w:val="24"/>
          <w:szCs w:val="24"/>
          <w:lang w:val="en-US"/>
        </w:rPr>
      </w:pPr>
    </w:p>
    <w:p w14:paraId="1184E20F" w14:textId="77777777" w:rsidR="00E32639" w:rsidRPr="003B1198" w:rsidRDefault="00E32639" w:rsidP="006A5C2C">
      <w:pPr>
        <w:spacing w:after="0" w:line="240" w:lineRule="auto"/>
        <w:jc w:val="center"/>
        <w:rPr>
          <w:rFonts w:ascii="Arial" w:eastAsia="Times New Roman" w:hAnsi="Arial" w:cs="Arial"/>
          <w:spacing w:val="-3"/>
          <w:kern w:val="0"/>
          <w:sz w:val="24"/>
          <w:szCs w:val="24"/>
          <w:lang w:val="en-US"/>
        </w:rPr>
      </w:pPr>
    </w:p>
    <w:p w14:paraId="31E11385" w14:textId="77777777" w:rsidR="00E32639" w:rsidRPr="003B1198" w:rsidRDefault="00E32639" w:rsidP="006A5C2C">
      <w:pPr>
        <w:spacing w:after="0" w:line="240" w:lineRule="auto"/>
        <w:jc w:val="center"/>
        <w:rPr>
          <w:rFonts w:ascii="Arial" w:eastAsia="Times New Roman" w:hAnsi="Arial" w:cs="Arial"/>
          <w:spacing w:val="-3"/>
          <w:kern w:val="0"/>
          <w:sz w:val="24"/>
          <w:szCs w:val="24"/>
          <w:lang w:val="en-US"/>
        </w:rPr>
      </w:pPr>
      <w:r w:rsidRPr="003B1198">
        <w:rPr>
          <w:rFonts w:ascii="Arial" w:eastAsia="Times New Roman" w:hAnsi="Arial" w:cs="Arial"/>
          <w:spacing w:val="-3"/>
          <w:kern w:val="0"/>
          <w:sz w:val="24"/>
          <w:szCs w:val="24"/>
          <w:u w:val="single"/>
          <w:lang w:val="en-US"/>
        </w:rPr>
        <w:t>DECISION OF THE SOCIAL SECURITY COMMISSIONER</w:t>
      </w:r>
    </w:p>
    <w:p w14:paraId="22B6A664" w14:textId="77777777" w:rsidR="00E32639" w:rsidRDefault="00E32639" w:rsidP="003B1198">
      <w:pPr>
        <w:spacing w:after="0" w:line="240" w:lineRule="auto"/>
        <w:rPr>
          <w:rFonts w:ascii="Arial" w:hAnsi="Arial" w:cs="Arial"/>
          <w:sz w:val="24"/>
          <w:szCs w:val="24"/>
        </w:rPr>
      </w:pPr>
    </w:p>
    <w:p w14:paraId="4C5387FD" w14:textId="77777777" w:rsidR="006A5C2C" w:rsidRPr="003B1198" w:rsidRDefault="006A5C2C" w:rsidP="003B1198">
      <w:pPr>
        <w:spacing w:after="0" w:line="240" w:lineRule="auto"/>
        <w:rPr>
          <w:rFonts w:ascii="Arial" w:hAnsi="Arial" w:cs="Arial"/>
          <w:sz w:val="24"/>
          <w:szCs w:val="24"/>
        </w:rPr>
      </w:pPr>
    </w:p>
    <w:p w14:paraId="541A1255" w14:textId="04D15C16" w:rsidR="005A7763" w:rsidRPr="003B1198" w:rsidRDefault="006A5C2C" w:rsidP="00D42D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18379C" w:rsidRPr="003B1198">
        <w:rPr>
          <w:rFonts w:ascii="Arial" w:hAnsi="Arial" w:cs="Arial"/>
          <w:sz w:val="24"/>
          <w:szCs w:val="24"/>
        </w:rPr>
        <w:t xml:space="preserve">I give leave to </w:t>
      </w:r>
      <w:r w:rsidR="00FD442A" w:rsidRPr="003B1198">
        <w:rPr>
          <w:rFonts w:ascii="Arial" w:hAnsi="Arial" w:cs="Arial"/>
          <w:sz w:val="24"/>
          <w:szCs w:val="24"/>
        </w:rPr>
        <w:t>appeal</w:t>
      </w:r>
      <w:r w:rsidR="0018379C" w:rsidRPr="003B1198">
        <w:rPr>
          <w:rFonts w:ascii="Arial" w:hAnsi="Arial" w:cs="Arial"/>
          <w:sz w:val="24"/>
          <w:szCs w:val="24"/>
        </w:rPr>
        <w:t xml:space="preserve"> and allow the appeal against the decision of the Appeal Tribunal sitting at </w:t>
      </w:r>
      <w:r w:rsidR="004610E8" w:rsidRPr="003B1198">
        <w:rPr>
          <w:rFonts w:ascii="Arial" w:hAnsi="Arial" w:cs="Arial"/>
          <w:sz w:val="24"/>
          <w:szCs w:val="24"/>
        </w:rPr>
        <w:t>Newry</w:t>
      </w:r>
      <w:r w:rsidR="0018379C" w:rsidRPr="003B1198">
        <w:rPr>
          <w:rFonts w:ascii="Arial" w:hAnsi="Arial" w:cs="Arial"/>
          <w:sz w:val="24"/>
          <w:szCs w:val="24"/>
        </w:rPr>
        <w:t xml:space="preserve"> on </w:t>
      </w:r>
      <w:r w:rsidR="00E82F1F" w:rsidRPr="003B1198">
        <w:rPr>
          <w:rFonts w:ascii="Arial" w:hAnsi="Arial" w:cs="Arial"/>
          <w:sz w:val="24"/>
          <w:szCs w:val="24"/>
        </w:rPr>
        <w:t xml:space="preserve">8 September 2023 </w:t>
      </w:r>
      <w:r w:rsidR="0018379C" w:rsidRPr="003B1198">
        <w:rPr>
          <w:rFonts w:ascii="Arial" w:hAnsi="Arial" w:cs="Arial"/>
          <w:sz w:val="24"/>
          <w:szCs w:val="24"/>
        </w:rPr>
        <w:t xml:space="preserve">under reference </w:t>
      </w:r>
      <w:r w:rsidR="00E82F1F" w:rsidRPr="003B1198">
        <w:rPr>
          <w:rFonts w:ascii="Arial" w:hAnsi="Arial" w:cs="Arial"/>
          <w:sz w:val="24"/>
          <w:szCs w:val="24"/>
        </w:rPr>
        <w:t>NW/1071/23/05/</w:t>
      </w:r>
      <w:r w:rsidR="005A7763" w:rsidRPr="003B1198">
        <w:rPr>
          <w:rFonts w:ascii="Arial" w:hAnsi="Arial" w:cs="Arial"/>
          <w:sz w:val="24"/>
          <w:szCs w:val="24"/>
        </w:rPr>
        <w:t>U</w:t>
      </w:r>
      <w:r w:rsidR="0018379C" w:rsidRPr="003B1198">
        <w:rPr>
          <w:rFonts w:ascii="Arial" w:hAnsi="Arial" w:cs="Arial"/>
          <w:sz w:val="24"/>
          <w:szCs w:val="24"/>
        </w:rPr>
        <w:t>.</w:t>
      </w:r>
      <w:r w:rsidR="00F96FD1" w:rsidRPr="003B1198">
        <w:rPr>
          <w:rFonts w:ascii="Arial" w:hAnsi="Arial" w:cs="Arial"/>
          <w:sz w:val="24"/>
          <w:szCs w:val="24"/>
        </w:rPr>
        <w:t xml:space="preserve">  The appellant’s appeal against the Department’s decision dated 2 February 2023 must be heard entirely afresh by a panel of the Appeal Tribunal, which must be wholly differently constituted.</w:t>
      </w:r>
    </w:p>
    <w:p w14:paraId="073E3614" w14:textId="77777777" w:rsidR="005A7763" w:rsidRPr="003B1198" w:rsidRDefault="005A7763" w:rsidP="00D42D2D">
      <w:pPr>
        <w:tabs>
          <w:tab w:val="left" w:pos="510"/>
          <w:tab w:val="left" w:pos="1077"/>
          <w:tab w:val="left" w:pos="1797"/>
        </w:tabs>
        <w:spacing w:after="0" w:line="240" w:lineRule="auto"/>
        <w:ind w:left="510" w:hanging="510"/>
        <w:jc w:val="both"/>
        <w:rPr>
          <w:rFonts w:ascii="Arial" w:hAnsi="Arial" w:cs="Arial"/>
          <w:sz w:val="24"/>
          <w:szCs w:val="24"/>
        </w:rPr>
      </w:pPr>
    </w:p>
    <w:p w14:paraId="78AD3FA8" w14:textId="3778F592" w:rsidR="002C5F0D" w:rsidRPr="003B1198" w:rsidRDefault="006A5C2C" w:rsidP="00D42D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18379C" w:rsidRPr="003B1198">
        <w:rPr>
          <w:rFonts w:ascii="Arial" w:hAnsi="Arial" w:cs="Arial"/>
          <w:sz w:val="24"/>
          <w:szCs w:val="24"/>
        </w:rPr>
        <w:t xml:space="preserve">The </w:t>
      </w:r>
      <w:r w:rsidR="002C5F0D" w:rsidRPr="003B1198">
        <w:rPr>
          <w:rFonts w:ascii="Arial" w:hAnsi="Arial" w:cs="Arial"/>
          <w:sz w:val="24"/>
          <w:szCs w:val="24"/>
        </w:rPr>
        <w:t>a</w:t>
      </w:r>
      <w:r w:rsidR="00FD442A" w:rsidRPr="003B1198">
        <w:rPr>
          <w:rFonts w:ascii="Arial" w:hAnsi="Arial" w:cs="Arial"/>
          <w:sz w:val="24"/>
          <w:szCs w:val="24"/>
        </w:rPr>
        <w:t>ppellant</w:t>
      </w:r>
      <w:r w:rsidR="0018379C" w:rsidRPr="003B1198">
        <w:rPr>
          <w:rFonts w:ascii="Arial" w:hAnsi="Arial" w:cs="Arial"/>
          <w:sz w:val="24"/>
          <w:szCs w:val="24"/>
        </w:rPr>
        <w:t xml:space="preserve"> is a Polish national in his 60s who has for many years lived and worked in the Republic and in </w:t>
      </w:r>
      <w:r w:rsidR="00FD442A" w:rsidRPr="003B1198">
        <w:rPr>
          <w:rFonts w:ascii="Arial" w:hAnsi="Arial" w:cs="Arial"/>
          <w:sz w:val="24"/>
          <w:szCs w:val="24"/>
        </w:rPr>
        <w:t>Northern</w:t>
      </w:r>
      <w:r w:rsidR="0018379C" w:rsidRPr="003B1198">
        <w:rPr>
          <w:rFonts w:ascii="Arial" w:hAnsi="Arial" w:cs="Arial"/>
          <w:sz w:val="24"/>
          <w:szCs w:val="24"/>
        </w:rPr>
        <w:t xml:space="preserve"> Ireland. </w:t>
      </w:r>
      <w:r>
        <w:rPr>
          <w:rFonts w:ascii="Arial" w:hAnsi="Arial" w:cs="Arial"/>
          <w:sz w:val="24"/>
          <w:szCs w:val="24"/>
        </w:rPr>
        <w:t xml:space="preserve"> </w:t>
      </w:r>
      <w:r w:rsidR="0018379C" w:rsidRPr="003B1198">
        <w:rPr>
          <w:rFonts w:ascii="Arial" w:hAnsi="Arial" w:cs="Arial"/>
          <w:sz w:val="24"/>
          <w:szCs w:val="24"/>
        </w:rPr>
        <w:t xml:space="preserve">He appealed to the </w:t>
      </w:r>
      <w:r w:rsidR="00FD442A" w:rsidRPr="003B1198">
        <w:rPr>
          <w:rFonts w:ascii="Arial" w:hAnsi="Arial" w:cs="Arial"/>
          <w:sz w:val="24"/>
          <w:szCs w:val="24"/>
        </w:rPr>
        <w:t>Appeal</w:t>
      </w:r>
      <w:r w:rsidR="0018379C" w:rsidRPr="003B1198">
        <w:rPr>
          <w:rFonts w:ascii="Arial" w:hAnsi="Arial" w:cs="Arial"/>
          <w:sz w:val="24"/>
          <w:szCs w:val="24"/>
        </w:rPr>
        <w:t xml:space="preserve"> Tribunal (the tribunal) against the </w:t>
      </w:r>
      <w:r w:rsidR="00F96FD1" w:rsidRPr="003B1198">
        <w:rPr>
          <w:rFonts w:ascii="Arial" w:hAnsi="Arial" w:cs="Arial"/>
          <w:sz w:val="24"/>
          <w:szCs w:val="24"/>
        </w:rPr>
        <w:t xml:space="preserve">decision of the </w:t>
      </w:r>
      <w:r w:rsidR="0018379C" w:rsidRPr="003B1198">
        <w:rPr>
          <w:rFonts w:ascii="Arial" w:hAnsi="Arial" w:cs="Arial"/>
          <w:sz w:val="24"/>
          <w:szCs w:val="24"/>
        </w:rPr>
        <w:t>Department</w:t>
      </w:r>
      <w:r w:rsidR="005A7763" w:rsidRPr="003B1198">
        <w:rPr>
          <w:rFonts w:ascii="Arial" w:hAnsi="Arial" w:cs="Arial"/>
          <w:sz w:val="24"/>
          <w:szCs w:val="24"/>
        </w:rPr>
        <w:t xml:space="preserve"> for Communities (the Department)</w:t>
      </w:r>
      <w:r w:rsidR="0018379C" w:rsidRPr="003B1198">
        <w:rPr>
          <w:rFonts w:ascii="Arial" w:hAnsi="Arial" w:cs="Arial"/>
          <w:sz w:val="24"/>
          <w:szCs w:val="24"/>
        </w:rPr>
        <w:t xml:space="preserve"> dated 2 February 2023 that he did not have, nor could be treated as </w:t>
      </w:r>
      <w:r w:rsidR="00FD442A" w:rsidRPr="003B1198">
        <w:rPr>
          <w:rFonts w:ascii="Arial" w:hAnsi="Arial" w:cs="Arial"/>
          <w:sz w:val="24"/>
          <w:szCs w:val="24"/>
        </w:rPr>
        <w:t>having</w:t>
      </w:r>
      <w:r w:rsidR="0018379C" w:rsidRPr="003B1198">
        <w:rPr>
          <w:rFonts w:ascii="Arial" w:hAnsi="Arial" w:cs="Arial"/>
          <w:sz w:val="24"/>
          <w:szCs w:val="24"/>
        </w:rPr>
        <w:t xml:space="preserve">, Limited </w:t>
      </w:r>
      <w:r w:rsidR="00EE7DEB" w:rsidRPr="003B1198">
        <w:rPr>
          <w:rFonts w:ascii="Arial" w:hAnsi="Arial" w:cs="Arial"/>
          <w:sz w:val="24"/>
          <w:szCs w:val="24"/>
        </w:rPr>
        <w:t>C</w:t>
      </w:r>
      <w:r w:rsidR="0018379C" w:rsidRPr="003B1198">
        <w:rPr>
          <w:rFonts w:ascii="Arial" w:hAnsi="Arial" w:cs="Arial"/>
          <w:sz w:val="24"/>
          <w:szCs w:val="24"/>
        </w:rPr>
        <w:t>apability for Work</w:t>
      </w:r>
      <w:r w:rsidR="004671B5" w:rsidRPr="003B1198">
        <w:rPr>
          <w:rFonts w:ascii="Arial" w:hAnsi="Arial" w:cs="Arial"/>
          <w:sz w:val="24"/>
          <w:szCs w:val="24"/>
        </w:rPr>
        <w:t xml:space="preserve"> (</w:t>
      </w:r>
      <w:r w:rsidR="0018379C" w:rsidRPr="003B1198">
        <w:rPr>
          <w:rFonts w:ascii="Arial" w:hAnsi="Arial" w:cs="Arial"/>
          <w:sz w:val="24"/>
          <w:szCs w:val="24"/>
        </w:rPr>
        <w:t>LCW</w:t>
      </w:r>
      <w:r w:rsidR="004671B5" w:rsidRPr="003B1198">
        <w:rPr>
          <w:rFonts w:ascii="Arial" w:hAnsi="Arial" w:cs="Arial"/>
          <w:sz w:val="24"/>
          <w:szCs w:val="24"/>
        </w:rPr>
        <w:t>).</w:t>
      </w:r>
    </w:p>
    <w:p w14:paraId="296FF82F" w14:textId="77777777" w:rsidR="002C5F0D" w:rsidRPr="003B1198" w:rsidRDefault="002C5F0D" w:rsidP="00D42D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4790E922" w14:textId="36C13428" w:rsidR="002C5F0D" w:rsidRPr="003B1198" w:rsidRDefault="006A5C2C" w:rsidP="00D42D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18379C" w:rsidRPr="003B1198">
        <w:rPr>
          <w:rFonts w:ascii="Arial" w:hAnsi="Arial" w:cs="Arial"/>
          <w:sz w:val="24"/>
          <w:szCs w:val="24"/>
        </w:rPr>
        <w:t xml:space="preserve">His appeal came before the tribunal referenced </w:t>
      </w:r>
      <w:r w:rsidR="00FD442A" w:rsidRPr="003B1198">
        <w:rPr>
          <w:rFonts w:ascii="Arial" w:hAnsi="Arial" w:cs="Arial"/>
          <w:sz w:val="24"/>
          <w:szCs w:val="24"/>
        </w:rPr>
        <w:t>above.</w:t>
      </w:r>
      <w:r>
        <w:rPr>
          <w:rFonts w:ascii="Arial" w:hAnsi="Arial" w:cs="Arial"/>
          <w:sz w:val="24"/>
          <w:szCs w:val="24"/>
        </w:rPr>
        <w:t xml:space="preserve"> </w:t>
      </w:r>
      <w:r w:rsidR="00FD442A" w:rsidRPr="003B1198">
        <w:rPr>
          <w:rFonts w:ascii="Arial" w:hAnsi="Arial" w:cs="Arial"/>
          <w:sz w:val="24"/>
          <w:szCs w:val="24"/>
        </w:rPr>
        <w:t xml:space="preserve"> The</w:t>
      </w:r>
      <w:r w:rsidR="0018379C" w:rsidRPr="003B1198">
        <w:rPr>
          <w:rFonts w:ascii="Arial" w:hAnsi="Arial" w:cs="Arial"/>
          <w:sz w:val="24"/>
          <w:szCs w:val="24"/>
        </w:rPr>
        <w:t xml:space="preserve"> </w:t>
      </w:r>
      <w:r w:rsidR="002C5F0D" w:rsidRPr="003B1198">
        <w:rPr>
          <w:rFonts w:ascii="Arial" w:hAnsi="Arial" w:cs="Arial"/>
          <w:sz w:val="24"/>
          <w:szCs w:val="24"/>
        </w:rPr>
        <w:t>a</w:t>
      </w:r>
      <w:r w:rsidR="00FD442A" w:rsidRPr="003B1198">
        <w:rPr>
          <w:rFonts w:ascii="Arial" w:hAnsi="Arial" w:cs="Arial"/>
          <w:sz w:val="24"/>
          <w:szCs w:val="24"/>
        </w:rPr>
        <w:t>ppellant</w:t>
      </w:r>
      <w:r w:rsidR="0018379C" w:rsidRPr="003B1198">
        <w:rPr>
          <w:rFonts w:ascii="Arial" w:hAnsi="Arial" w:cs="Arial"/>
          <w:sz w:val="24"/>
          <w:szCs w:val="24"/>
        </w:rPr>
        <w:t xml:space="preserve"> presented his own case and was supported by a friend, Ms R.</w:t>
      </w:r>
      <w:r>
        <w:rPr>
          <w:rFonts w:ascii="Arial" w:hAnsi="Arial" w:cs="Arial"/>
          <w:sz w:val="24"/>
          <w:szCs w:val="24"/>
        </w:rPr>
        <w:t xml:space="preserve"> </w:t>
      </w:r>
      <w:r w:rsidR="0018379C" w:rsidRPr="003B1198">
        <w:rPr>
          <w:rFonts w:ascii="Arial" w:hAnsi="Arial" w:cs="Arial"/>
          <w:sz w:val="24"/>
          <w:szCs w:val="24"/>
        </w:rPr>
        <w:t xml:space="preserve"> There was no attendance on behalf of the Department.</w:t>
      </w:r>
    </w:p>
    <w:p w14:paraId="1D4C90D3" w14:textId="77777777" w:rsidR="002C5F0D" w:rsidRPr="003B1198" w:rsidRDefault="002C5F0D" w:rsidP="00D42D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D5CAF78" w14:textId="75168C82" w:rsidR="00355E3E" w:rsidRPr="003B1198" w:rsidRDefault="006A5C2C" w:rsidP="00D42D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w:t>
      </w:r>
      <w:r>
        <w:rPr>
          <w:rFonts w:ascii="Arial" w:hAnsi="Arial" w:cs="Arial"/>
          <w:sz w:val="24"/>
          <w:szCs w:val="24"/>
        </w:rPr>
        <w:tab/>
      </w:r>
      <w:r w:rsidR="0018379C" w:rsidRPr="003B1198">
        <w:rPr>
          <w:rFonts w:ascii="Arial" w:hAnsi="Arial" w:cs="Arial"/>
          <w:sz w:val="24"/>
          <w:szCs w:val="24"/>
        </w:rPr>
        <w:t>The evidence provided by</w:t>
      </w:r>
      <w:r w:rsidR="00FD442A" w:rsidRPr="003B1198">
        <w:rPr>
          <w:rFonts w:ascii="Arial" w:hAnsi="Arial" w:cs="Arial"/>
          <w:sz w:val="24"/>
          <w:szCs w:val="24"/>
        </w:rPr>
        <w:t xml:space="preserve"> </w:t>
      </w:r>
      <w:r w:rsidR="0018379C" w:rsidRPr="003B1198">
        <w:rPr>
          <w:rFonts w:ascii="Arial" w:hAnsi="Arial" w:cs="Arial"/>
          <w:sz w:val="24"/>
          <w:szCs w:val="24"/>
        </w:rPr>
        <w:t>t</w:t>
      </w:r>
      <w:r w:rsidR="00FD442A" w:rsidRPr="003B1198">
        <w:rPr>
          <w:rFonts w:ascii="Arial" w:hAnsi="Arial" w:cs="Arial"/>
          <w:sz w:val="24"/>
          <w:szCs w:val="24"/>
        </w:rPr>
        <w:t>he</w:t>
      </w:r>
      <w:r w:rsidR="0018379C" w:rsidRPr="003B1198">
        <w:rPr>
          <w:rFonts w:ascii="Arial" w:hAnsi="Arial" w:cs="Arial"/>
          <w:sz w:val="24"/>
          <w:szCs w:val="24"/>
        </w:rPr>
        <w:t xml:space="preserve"> </w:t>
      </w:r>
      <w:r w:rsidR="002C5F0D" w:rsidRPr="003B1198">
        <w:rPr>
          <w:rFonts w:ascii="Arial" w:hAnsi="Arial" w:cs="Arial"/>
          <w:sz w:val="24"/>
          <w:szCs w:val="24"/>
        </w:rPr>
        <w:t>a</w:t>
      </w:r>
      <w:r w:rsidR="00FD442A" w:rsidRPr="003B1198">
        <w:rPr>
          <w:rFonts w:ascii="Arial" w:hAnsi="Arial" w:cs="Arial"/>
          <w:sz w:val="24"/>
          <w:szCs w:val="24"/>
        </w:rPr>
        <w:t>ppellant</w:t>
      </w:r>
      <w:r w:rsidR="0018379C" w:rsidRPr="003B1198">
        <w:rPr>
          <w:rFonts w:ascii="Arial" w:hAnsi="Arial" w:cs="Arial"/>
          <w:sz w:val="24"/>
          <w:szCs w:val="24"/>
        </w:rPr>
        <w:t xml:space="preserve"> included certificates in Form Med 3 signed by his GP, which consistently indicated that the GP considered him to be unfit for work due </w:t>
      </w:r>
      <w:r w:rsidR="00FD442A" w:rsidRPr="003B1198">
        <w:rPr>
          <w:rFonts w:ascii="Arial" w:hAnsi="Arial" w:cs="Arial"/>
          <w:sz w:val="24"/>
          <w:szCs w:val="24"/>
        </w:rPr>
        <w:t>to</w:t>
      </w:r>
      <w:r w:rsidR="0018379C" w:rsidRPr="003B1198">
        <w:rPr>
          <w:rFonts w:ascii="Arial" w:hAnsi="Arial" w:cs="Arial"/>
          <w:sz w:val="24"/>
          <w:szCs w:val="24"/>
        </w:rPr>
        <w:t xml:space="preserve"> </w:t>
      </w:r>
      <w:r w:rsidR="00EE7DEB" w:rsidRPr="003B1198">
        <w:rPr>
          <w:rFonts w:ascii="Arial" w:hAnsi="Arial" w:cs="Arial"/>
          <w:sz w:val="24"/>
          <w:szCs w:val="24"/>
        </w:rPr>
        <w:t>atrial fibrillation</w:t>
      </w:r>
      <w:r w:rsidR="00F96FD1" w:rsidRPr="003B1198">
        <w:rPr>
          <w:rFonts w:ascii="Arial" w:hAnsi="Arial" w:cs="Arial"/>
          <w:sz w:val="24"/>
          <w:szCs w:val="24"/>
        </w:rPr>
        <w:t>,</w:t>
      </w:r>
      <w:r w:rsidR="00551CC3" w:rsidRPr="003B1198">
        <w:rPr>
          <w:rFonts w:ascii="Arial" w:hAnsi="Arial" w:cs="Arial"/>
          <w:sz w:val="24"/>
          <w:szCs w:val="24"/>
        </w:rPr>
        <w:t xml:space="preserve"> and </w:t>
      </w:r>
      <w:r w:rsidR="000202EB" w:rsidRPr="003B1198">
        <w:rPr>
          <w:rFonts w:ascii="Arial" w:hAnsi="Arial" w:cs="Arial"/>
          <w:sz w:val="24"/>
          <w:szCs w:val="24"/>
        </w:rPr>
        <w:t>translat</w:t>
      </w:r>
      <w:r w:rsidR="00A6717E" w:rsidRPr="003B1198">
        <w:rPr>
          <w:rFonts w:ascii="Arial" w:hAnsi="Arial" w:cs="Arial"/>
          <w:sz w:val="24"/>
          <w:szCs w:val="24"/>
        </w:rPr>
        <w:t>ions</w:t>
      </w:r>
      <w:r w:rsidR="000202EB" w:rsidRPr="003B1198">
        <w:rPr>
          <w:rFonts w:ascii="Arial" w:hAnsi="Arial" w:cs="Arial"/>
          <w:sz w:val="24"/>
          <w:szCs w:val="24"/>
        </w:rPr>
        <w:t xml:space="preserve"> </w:t>
      </w:r>
      <w:r w:rsidR="00A6717E" w:rsidRPr="003B1198">
        <w:rPr>
          <w:rFonts w:ascii="Arial" w:hAnsi="Arial" w:cs="Arial"/>
          <w:sz w:val="24"/>
          <w:szCs w:val="24"/>
        </w:rPr>
        <w:t>o</w:t>
      </w:r>
      <w:r w:rsidR="000202EB" w:rsidRPr="003B1198">
        <w:rPr>
          <w:rFonts w:ascii="Arial" w:hAnsi="Arial" w:cs="Arial"/>
          <w:sz w:val="24"/>
          <w:szCs w:val="24"/>
        </w:rPr>
        <w:t>f medical certificates from Poland</w:t>
      </w:r>
      <w:r w:rsidR="00A6717E" w:rsidRPr="003B1198">
        <w:rPr>
          <w:rFonts w:ascii="Arial" w:hAnsi="Arial" w:cs="Arial"/>
          <w:sz w:val="24"/>
          <w:szCs w:val="24"/>
        </w:rPr>
        <w:t xml:space="preserve"> to </w:t>
      </w:r>
      <w:r w:rsidR="00D670E6" w:rsidRPr="003B1198">
        <w:rPr>
          <w:rFonts w:ascii="Arial" w:hAnsi="Arial" w:cs="Arial"/>
          <w:sz w:val="24"/>
          <w:szCs w:val="24"/>
        </w:rPr>
        <w:t>similar</w:t>
      </w:r>
      <w:r w:rsidR="00A6717E" w:rsidRPr="003B1198">
        <w:rPr>
          <w:rFonts w:ascii="Arial" w:hAnsi="Arial" w:cs="Arial"/>
          <w:sz w:val="24"/>
          <w:szCs w:val="24"/>
        </w:rPr>
        <w:t xml:space="preserve"> effect</w:t>
      </w:r>
      <w:r w:rsidR="000202EB" w:rsidRPr="003B1198">
        <w:rPr>
          <w:rFonts w:ascii="Arial" w:hAnsi="Arial" w:cs="Arial"/>
          <w:sz w:val="24"/>
          <w:szCs w:val="24"/>
        </w:rPr>
        <w:t>.</w:t>
      </w:r>
      <w:r>
        <w:rPr>
          <w:rFonts w:ascii="Arial" w:hAnsi="Arial" w:cs="Arial"/>
          <w:sz w:val="24"/>
          <w:szCs w:val="24"/>
        </w:rPr>
        <w:t xml:space="preserve"> </w:t>
      </w:r>
      <w:r w:rsidR="0018379C" w:rsidRPr="003B1198">
        <w:rPr>
          <w:rFonts w:ascii="Arial" w:hAnsi="Arial" w:cs="Arial"/>
          <w:sz w:val="24"/>
          <w:szCs w:val="24"/>
        </w:rPr>
        <w:t xml:space="preserve"> The </w:t>
      </w:r>
      <w:r w:rsidR="000202EB" w:rsidRPr="003B1198">
        <w:rPr>
          <w:rFonts w:ascii="Arial" w:hAnsi="Arial" w:cs="Arial"/>
          <w:sz w:val="24"/>
          <w:szCs w:val="24"/>
        </w:rPr>
        <w:t xml:space="preserve">Med 3 </w:t>
      </w:r>
      <w:r w:rsidR="00FD442A" w:rsidRPr="003B1198">
        <w:rPr>
          <w:rFonts w:ascii="Arial" w:hAnsi="Arial" w:cs="Arial"/>
          <w:sz w:val="24"/>
          <w:szCs w:val="24"/>
        </w:rPr>
        <w:t>certificates</w:t>
      </w:r>
      <w:r w:rsidR="0018379C" w:rsidRPr="003B1198">
        <w:rPr>
          <w:rFonts w:ascii="Arial" w:hAnsi="Arial" w:cs="Arial"/>
          <w:sz w:val="24"/>
          <w:szCs w:val="24"/>
        </w:rPr>
        <w:t xml:space="preserve"> </w:t>
      </w:r>
      <w:r w:rsidR="00EE7DEB" w:rsidRPr="003B1198">
        <w:rPr>
          <w:rFonts w:ascii="Arial" w:hAnsi="Arial" w:cs="Arial"/>
          <w:sz w:val="24"/>
          <w:szCs w:val="24"/>
        </w:rPr>
        <w:t>w</w:t>
      </w:r>
      <w:r w:rsidR="0018379C" w:rsidRPr="003B1198">
        <w:rPr>
          <w:rFonts w:ascii="Arial" w:hAnsi="Arial" w:cs="Arial"/>
          <w:sz w:val="24"/>
          <w:szCs w:val="24"/>
        </w:rPr>
        <w:t xml:space="preserve">ere </w:t>
      </w:r>
      <w:r w:rsidR="006F0F85" w:rsidRPr="003B1198">
        <w:rPr>
          <w:rFonts w:ascii="Arial" w:hAnsi="Arial" w:cs="Arial"/>
          <w:sz w:val="24"/>
          <w:szCs w:val="24"/>
        </w:rPr>
        <w:t xml:space="preserve">initially </w:t>
      </w:r>
      <w:r w:rsidR="0018379C" w:rsidRPr="003B1198">
        <w:rPr>
          <w:rFonts w:ascii="Arial" w:hAnsi="Arial" w:cs="Arial"/>
          <w:sz w:val="24"/>
          <w:szCs w:val="24"/>
        </w:rPr>
        <w:t xml:space="preserve">issued </w:t>
      </w:r>
      <w:r w:rsidR="003A7872" w:rsidRPr="003B1198">
        <w:rPr>
          <w:rFonts w:ascii="Arial" w:hAnsi="Arial" w:cs="Arial"/>
          <w:sz w:val="24"/>
          <w:szCs w:val="24"/>
        </w:rPr>
        <w:t>monthly</w:t>
      </w:r>
      <w:r w:rsidR="006F0F85" w:rsidRPr="003B1198">
        <w:rPr>
          <w:rFonts w:ascii="Arial" w:hAnsi="Arial" w:cs="Arial"/>
          <w:sz w:val="24"/>
          <w:szCs w:val="24"/>
        </w:rPr>
        <w:t>, covering a period from 28 June 2021</w:t>
      </w:r>
      <w:r w:rsidR="00426739" w:rsidRPr="003B1198">
        <w:rPr>
          <w:rFonts w:ascii="Arial" w:hAnsi="Arial" w:cs="Arial"/>
          <w:sz w:val="24"/>
          <w:szCs w:val="24"/>
        </w:rPr>
        <w:t xml:space="preserve"> to 23 </w:t>
      </w:r>
      <w:r w:rsidR="00355E3E" w:rsidRPr="003B1198">
        <w:rPr>
          <w:rFonts w:ascii="Arial" w:hAnsi="Arial" w:cs="Arial"/>
          <w:sz w:val="24"/>
          <w:szCs w:val="24"/>
        </w:rPr>
        <w:t>A</w:t>
      </w:r>
      <w:r w:rsidR="00426739" w:rsidRPr="003B1198">
        <w:rPr>
          <w:rFonts w:ascii="Arial" w:hAnsi="Arial" w:cs="Arial"/>
          <w:sz w:val="24"/>
          <w:szCs w:val="24"/>
        </w:rPr>
        <w:t>ugust 2021</w:t>
      </w:r>
      <w:r w:rsidR="002A32E1" w:rsidRPr="003B1198">
        <w:rPr>
          <w:rFonts w:ascii="Arial" w:hAnsi="Arial" w:cs="Arial"/>
          <w:sz w:val="24"/>
          <w:szCs w:val="24"/>
        </w:rPr>
        <w:t xml:space="preserve">. </w:t>
      </w:r>
      <w:r>
        <w:rPr>
          <w:rFonts w:ascii="Arial" w:hAnsi="Arial" w:cs="Arial"/>
          <w:sz w:val="24"/>
          <w:szCs w:val="24"/>
        </w:rPr>
        <w:t xml:space="preserve"> </w:t>
      </w:r>
      <w:r w:rsidR="002A32E1" w:rsidRPr="003B1198">
        <w:rPr>
          <w:rFonts w:ascii="Arial" w:hAnsi="Arial" w:cs="Arial"/>
          <w:sz w:val="24"/>
          <w:szCs w:val="24"/>
        </w:rPr>
        <w:t>P</w:t>
      </w:r>
      <w:r w:rsidR="00D670E6" w:rsidRPr="003B1198">
        <w:rPr>
          <w:rFonts w:ascii="Arial" w:hAnsi="Arial" w:cs="Arial"/>
          <w:sz w:val="24"/>
          <w:szCs w:val="24"/>
        </w:rPr>
        <w:t>olish</w:t>
      </w:r>
      <w:r w:rsidR="002A32E1" w:rsidRPr="003B1198">
        <w:rPr>
          <w:rFonts w:ascii="Arial" w:hAnsi="Arial" w:cs="Arial"/>
          <w:sz w:val="24"/>
          <w:szCs w:val="24"/>
        </w:rPr>
        <w:t xml:space="preserve"> medical evidence covered the periods </w:t>
      </w:r>
      <w:r w:rsidR="00595B17" w:rsidRPr="003B1198">
        <w:rPr>
          <w:rFonts w:ascii="Arial" w:hAnsi="Arial" w:cs="Arial"/>
          <w:sz w:val="24"/>
          <w:szCs w:val="24"/>
        </w:rPr>
        <w:t>29 Novemb</w:t>
      </w:r>
      <w:r w:rsidR="00D670E6" w:rsidRPr="003B1198">
        <w:rPr>
          <w:rFonts w:ascii="Arial" w:hAnsi="Arial" w:cs="Arial"/>
          <w:sz w:val="24"/>
          <w:szCs w:val="24"/>
        </w:rPr>
        <w:t>e</w:t>
      </w:r>
      <w:r w:rsidR="00595B17" w:rsidRPr="003B1198">
        <w:rPr>
          <w:rFonts w:ascii="Arial" w:hAnsi="Arial" w:cs="Arial"/>
          <w:sz w:val="24"/>
          <w:szCs w:val="24"/>
        </w:rPr>
        <w:t>r 2021 to 28 February 2022</w:t>
      </w:r>
      <w:r w:rsidR="00A06E41" w:rsidRPr="003B1198">
        <w:rPr>
          <w:rFonts w:ascii="Arial" w:hAnsi="Arial" w:cs="Arial"/>
          <w:sz w:val="24"/>
          <w:szCs w:val="24"/>
        </w:rPr>
        <w:t>, 14 March to 14 May 2022 and 23 August 2022 to 23</w:t>
      </w:r>
      <w:r w:rsidR="00D670E6" w:rsidRPr="003B1198">
        <w:rPr>
          <w:rFonts w:ascii="Arial" w:hAnsi="Arial" w:cs="Arial"/>
          <w:sz w:val="24"/>
          <w:szCs w:val="24"/>
        </w:rPr>
        <w:t xml:space="preserve"> October</w:t>
      </w:r>
      <w:r w:rsidR="00A06E41" w:rsidRPr="003B1198">
        <w:rPr>
          <w:rFonts w:ascii="Arial" w:hAnsi="Arial" w:cs="Arial"/>
          <w:sz w:val="24"/>
          <w:szCs w:val="24"/>
        </w:rPr>
        <w:t xml:space="preserve"> 2022</w:t>
      </w:r>
      <w:r w:rsidR="00C41CF8" w:rsidRPr="003B1198">
        <w:rPr>
          <w:rFonts w:ascii="Arial" w:hAnsi="Arial" w:cs="Arial"/>
          <w:sz w:val="24"/>
          <w:szCs w:val="24"/>
        </w:rPr>
        <w:t>.</w:t>
      </w:r>
      <w:r>
        <w:rPr>
          <w:rFonts w:ascii="Arial" w:hAnsi="Arial" w:cs="Arial"/>
          <w:sz w:val="24"/>
          <w:szCs w:val="24"/>
        </w:rPr>
        <w:t xml:space="preserve"> </w:t>
      </w:r>
      <w:r w:rsidR="00C41CF8" w:rsidRPr="003B1198">
        <w:rPr>
          <w:rFonts w:ascii="Arial" w:hAnsi="Arial" w:cs="Arial"/>
          <w:sz w:val="24"/>
          <w:szCs w:val="24"/>
        </w:rPr>
        <w:t xml:space="preserve"> Monthly </w:t>
      </w:r>
      <w:r w:rsidR="009E4154" w:rsidRPr="003B1198">
        <w:rPr>
          <w:rFonts w:ascii="Arial" w:hAnsi="Arial" w:cs="Arial"/>
          <w:sz w:val="24"/>
          <w:szCs w:val="24"/>
        </w:rPr>
        <w:t>Med 3 certificates then res</w:t>
      </w:r>
      <w:r w:rsidR="00D670E6" w:rsidRPr="003B1198">
        <w:rPr>
          <w:rFonts w:ascii="Arial" w:hAnsi="Arial" w:cs="Arial"/>
          <w:sz w:val="24"/>
          <w:szCs w:val="24"/>
        </w:rPr>
        <w:t>u</w:t>
      </w:r>
      <w:r w:rsidR="009E4154" w:rsidRPr="003B1198">
        <w:rPr>
          <w:rFonts w:ascii="Arial" w:hAnsi="Arial" w:cs="Arial"/>
          <w:sz w:val="24"/>
          <w:szCs w:val="24"/>
        </w:rPr>
        <w:t>med</w:t>
      </w:r>
      <w:r w:rsidR="00DB3238" w:rsidRPr="003B1198">
        <w:rPr>
          <w:rFonts w:ascii="Arial" w:hAnsi="Arial" w:cs="Arial"/>
          <w:sz w:val="24"/>
          <w:szCs w:val="24"/>
        </w:rPr>
        <w:t>, continuously</w:t>
      </w:r>
      <w:r w:rsidR="009E4154" w:rsidRPr="003B1198">
        <w:rPr>
          <w:rFonts w:ascii="Arial" w:hAnsi="Arial" w:cs="Arial"/>
          <w:sz w:val="24"/>
          <w:szCs w:val="24"/>
        </w:rPr>
        <w:t xml:space="preserve"> covering the period 24 October 2022</w:t>
      </w:r>
      <w:r w:rsidR="00DB3238" w:rsidRPr="003B1198">
        <w:rPr>
          <w:rFonts w:ascii="Arial" w:hAnsi="Arial" w:cs="Arial"/>
          <w:sz w:val="24"/>
          <w:szCs w:val="24"/>
        </w:rPr>
        <w:t xml:space="preserve"> to 3 October 2023,</w:t>
      </w:r>
      <w:r w:rsidR="002E0FD1" w:rsidRPr="003B1198">
        <w:rPr>
          <w:rFonts w:ascii="Arial" w:hAnsi="Arial" w:cs="Arial"/>
          <w:sz w:val="24"/>
          <w:szCs w:val="24"/>
        </w:rPr>
        <w:t xml:space="preserve"> th</w:t>
      </w:r>
      <w:r w:rsidR="004671B5" w:rsidRPr="003B1198">
        <w:rPr>
          <w:rFonts w:ascii="Arial" w:hAnsi="Arial" w:cs="Arial"/>
          <w:sz w:val="24"/>
          <w:szCs w:val="24"/>
        </w:rPr>
        <w:t>u</w:t>
      </w:r>
      <w:r w:rsidR="002E0FD1" w:rsidRPr="003B1198">
        <w:rPr>
          <w:rFonts w:ascii="Arial" w:hAnsi="Arial" w:cs="Arial"/>
          <w:sz w:val="24"/>
          <w:szCs w:val="24"/>
        </w:rPr>
        <w:t>s covering the date o</w:t>
      </w:r>
      <w:r w:rsidR="004671B5" w:rsidRPr="003B1198">
        <w:rPr>
          <w:rFonts w:ascii="Arial" w:hAnsi="Arial" w:cs="Arial"/>
          <w:sz w:val="24"/>
          <w:szCs w:val="24"/>
        </w:rPr>
        <w:t>f</w:t>
      </w:r>
      <w:r w:rsidR="002E0FD1" w:rsidRPr="003B1198">
        <w:rPr>
          <w:rFonts w:ascii="Arial" w:hAnsi="Arial" w:cs="Arial"/>
          <w:sz w:val="24"/>
          <w:szCs w:val="24"/>
        </w:rPr>
        <w:t xml:space="preserve"> </w:t>
      </w:r>
      <w:r w:rsidR="004671B5" w:rsidRPr="003B1198">
        <w:rPr>
          <w:rFonts w:ascii="Arial" w:hAnsi="Arial" w:cs="Arial"/>
          <w:sz w:val="24"/>
          <w:szCs w:val="24"/>
        </w:rPr>
        <w:t>the Depart</w:t>
      </w:r>
      <w:r w:rsidR="006D0E84" w:rsidRPr="003B1198">
        <w:rPr>
          <w:rFonts w:ascii="Arial" w:hAnsi="Arial" w:cs="Arial"/>
          <w:sz w:val="24"/>
          <w:szCs w:val="24"/>
        </w:rPr>
        <w:t xml:space="preserve">ment’s </w:t>
      </w:r>
      <w:r w:rsidR="002E0FD1" w:rsidRPr="003B1198">
        <w:rPr>
          <w:rFonts w:ascii="Arial" w:hAnsi="Arial" w:cs="Arial"/>
          <w:sz w:val="24"/>
          <w:szCs w:val="24"/>
        </w:rPr>
        <w:t>decision and a significant period leading up to it</w:t>
      </w:r>
      <w:r w:rsidR="00DB3238" w:rsidRPr="003B1198">
        <w:rPr>
          <w:rFonts w:ascii="Arial" w:hAnsi="Arial" w:cs="Arial"/>
          <w:sz w:val="24"/>
          <w:szCs w:val="24"/>
        </w:rPr>
        <w:t xml:space="preserve"> </w:t>
      </w:r>
      <w:r w:rsidR="00DB3238" w:rsidRPr="003B1198">
        <w:rPr>
          <w:rFonts w:ascii="Arial" w:hAnsi="Arial" w:cs="Arial"/>
          <w:sz w:val="24"/>
          <w:szCs w:val="24"/>
        </w:rPr>
        <w:lastRenderedPageBreak/>
        <w:t>(and indeed afterwards)</w:t>
      </w:r>
      <w:r w:rsidR="0018379C" w:rsidRPr="003B1198">
        <w:rPr>
          <w:rFonts w:ascii="Arial" w:hAnsi="Arial" w:cs="Arial"/>
          <w:sz w:val="24"/>
          <w:szCs w:val="24"/>
        </w:rPr>
        <w:t xml:space="preserve">. </w:t>
      </w:r>
      <w:r>
        <w:rPr>
          <w:rFonts w:ascii="Arial" w:hAnsi="Arial" w:cs="Arial"/>
          <w:sz w:val="24"/>
          <w:szCs w:val="24"/>
        </w:rPr>
        <w:t xml:space="preserve"> </w:t>
      </w:r>
      <w:r w:rsidR="00EE7DEB" w:rsidRPr="003B1198">
        <w:rPr>
          <w:rFonts w:ascii="Arial" w:hAnsi="Arial" w:cs="Arial"/>
          <w:sz w:val="24"/>
          <w:szCs w:val="24"/>
        </w:rPr>
        <w:t>However, w</w:t>
      </w:r>
      <w:r w:rsidR="0018379C" w:rsidRPr="003B1198">
        <w:rPr>
          <w:rFonts w:ascii="Arial" w:hAnsi="Arial" w:cs="Arial"/>
          <w:sz w:val="24"/>
          <w:szCs w:val="24"/>
        </w:rPr>
        <w:t>hen it came to his oral evidence as recorded by the tribunal (</w:t>
      </w:r>
      <w:r w:rsidR="00EE7DEB" w:rsidRPr="003B1198">
        <w:rPr>
          <w:rFonts w:ascii="Arial" w:hAnsi="Arial" w:cs="Arial"/>
          <w:sz w:val="24"/>
          <w:szCs w:val="24"/>
        </w:rPr>
        <w:t>th</w:t>
      </w:r>
      <w:r w:rsidR="0018379C" w:rsidRPr="003B1198">
        <w:rPr>
          <w:rFonts w:ascii="Arial" w:hAnsi="Arial" w:cs="Arial"/>
          <w:sz w:val="24"/>
          <w:szCs w:val="24"/>
        </w:rPr>
        <w:t xml:space="preserve">e accuracy </w:t>
      </w:r>
      <w:r w:rsidR="00EE7DEB" w:rsidRPr="003B1198">
        <w:rPr>
          <w:rFonts w:ascii="Arial" w:hAnsi="Arial" w:cs="Arial"/>
          <w:sz w:val="24"/>
          <w:szCs w:val="24"/>
        </w:rPr>
        <w:t>of the tribunal’s record</w:t>
      </w:r>
      <w:r w:rsidR="0018379C" w:rsidRPr="003B1198">
        <w:rPr>
          <w:rFonts w:ascii="Arial" w:hAnsi="Arial" w:cs="Arial"/>
          <w:sz w:val="24"/>
          <w:szCs w:val="24"/>
        </w:rPr>
        <w:t xml:space="preserve"> is disputed by the </w:t>
      </w:r>
      <w:r w:rsidR="002C5F0D" w:rsidRPr="003B1198">
        <w:rPr>
          <w:rFonts w:ascii="Arial" w:hAnsi="Arial" w:cs="Arial"/>
          <w:sz w:val="24"/>
          <w:szCs w:val="24"/>
        </w:rPr>
        <w:t>a</w:t>
      </w:r>
      <w:r w:rsidR="00FD442A" w:rsidRPr="003B1198">
        <w:rPr>
          <w:rFonts w:ascii="Arial" w:hAnsi="Arial" w:cs="Arial"/>
          <w:sz w:val="24"/>
          <w:szCs w:val="24"/>
        </w:rPr>
        <w:t>ppellant</w:t>
      </w:r>
      <w:r w:rsidR="0018379C" w:rsidRPr="003B1198">
        <w:rPr>
          <w:rFonts w:ascii="Arial" w:hAnsi="Arial" w:cs="Arial"/>
          <w:sz w:val="24"/>
          <w:szCs w:val="24"/>
        </w:rPr>
        <w:t xml:space="preserve"> and Ms R), the </w:t>
      </w:r>
      <w:r w:rsidR="002C5F0D" w:rsidRPr="003B1198">
        <w:rPr>
          <w:rFonts w:ascii="Arial" w:hAnsi="Arial" w:cs="Arial"/>
          <w:sz w:val="24"/>
          <w:szCs w:val="24"/>
        </w:rPr>
        <w:t>a</w:t>
      </w:r>
      <w:r w:rsidR="00FD442A" w:rsidRPr="003B1198">
        <w:rPr>
          <w:rFonts w:ascii="Arial" w:hAnsi="Arial" w:cs="Arial"/>
          <w:sz w:val="24"/>
          <w:szCs w:val="24"/>
        </w:rPr>
        <w:t>ppellant</w:t>
      </w:r>
      <w:r w:rsidR="0018379C" w:rsidRPr="003B1198">
        <w:rPr>
          <w:rFonts w:ascii="Arial" w:hAnsi="Arial" w:cs="Arial"/>
          <w:sz w:val="24"/>
          <w:szCs w:val="24"/>
        </w:rPr>
        <w:t xml:space="preserve"> is said to have indicated that he could work, had b</w:t>
      </w:r>
      <w:r w:rsidR="00EE7DEB" w:rsidRPr="003B1198">
        <w:rPr>
          <w:rFonts w:ascii="Arial" w:hAnsi="Arial" w:cs="Arial"/>
          <w:sz w:val="24"/>
          <w:szCs w:val="24"/>
        </w:rPr>
        <w:t>e</w:t>
      </w:r>
      <w:r w:rsidR="0018379C" w:rsidRPr="003B1198">
        <w:rPr>
          <w:rFonts w:ascii="Arial" w:hAnsi="Arial" w:cs="Arial"/>
          <w:sz w:val="24"/>
          <w:szCs w:val="24"/>
        </w:rPr>
        <w:t>en applying for jobs and that work would do him good.</w:t>
      </w:r>
    </w:p>
    <w:p w14:paraId="07C446A5" w14:textId="77777777" w:rsidR="00355E3E" w:rsidRPr="003B1198" w:rsidRDefault="00355E3E" w:rsidP="00D42D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FD6D653" w14:textId="6C7FDAD6" w:rsidR="00355E3E" w:rsidRPr="003B1198" w:rsidRDefault="006A5C2C" w:rsidP="00D42D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w:t>
      </w:r>
      <w:r>
        <w:rPr>
          <w:rFonts w:ascii="Arial" w:hAnsi="Arial" w:cs="Arial"/>
          <w:sz w:val="24"/>
          <w:szCs w:val="24"/>
        </w:rPr>
        <w:tab/>
      </w:r>
      <w:r w:rsidR="00143C89" w:rsidRPr="003B1198">
        <w:rPr>
          <w:rFonts w:ascii="Arial" w:hAnsi="Arial" w:cs="Arial"/>
          <w:sz w:val="24"/>
          <w:szCs w:val="24"/>
        </w:rPr>
        <w:t xml:space="preserve">The tribunal awarded 0 </w:t>
      </w:r>
      <w:r w:rsidR="00FD442A" w:rsidRPr="003B1198">
        <w:rPr>
          <w:rFonts w:ascii="Arial" w:hAnsi="Arial" w:cs="Arial"/>
          <w:sz w:val="24"/>
          <w:szCs w:val="24"/>
        </w:rPr>
        <w:t>points</w:t>
      </w:r>
      <w:r w:rsidR="00143C89" w:rsidRPr="003B1198">
        <w:rPr>
          <w:rFonts w:ascii="Arial" w:hAnsi="Arial" w:cs="Arial"/>
          <w:sz w:val="24"/>
          <w:szCs w:val="24"/>
        </w:rPr>
        <w:t xml:space="preserve"> and concluded that the </w:t>
      </w:r>
      <w:r w:rsidR="00FD442A" w:rsidRPr="003B1198">
        <w:rPr>
          <w:rFonts w:ascii="Arial" w:hAnsi="Arial" w:cs="Arial"/>
          <w:sz w:val="24"/>
          <w:szCs w:val="24"/>
        </w:rPr>
        <w:t>provisions</w:t>
      </w:r>
      <w:r w:rsidR="00143C89" w:rsidRPr="003B1198">
        <w:rPr>
          <w:rFonts w:ascii="Arial" w:hAnsi="Arial" w:cs="Arial"/>
          <w:sz w:val="24"/>
          <w:szCs w:val="24"/>
        </w:rPr>
        <w:t xml:space="preserve"> of the Universal Credit </w:t>
      </w:r>
      <w:r w:rsidR="00FD442A" w:rsidRPr="003B1198">
        <w:rPr>
          <w:rFonts w:ascii="Arial" w:hAnsi="Arial" w:cs="Arial"/>
          <w:sz w:val="24"/>
          <w:szCs w:val="24"/>
        </w:rPr>
        <w:t>Regulations</w:t>
      </w:r>
      <w:r w:rsidR="00143C89" w:rsidRPr="003B1198">
        <w:rPr>
          <w:rFonts w:ascii="Arial" w:hAnsi="Arial" w:cs="Arial"/>
          <w:sz w:val="24"/>
          <w:szCs w:val="24"/>
        </w:rPr>
        <w:t xml:space="preserve"> </w:t>
      </w:r>
      <w:r w:rsidR="00EE7DEB" w:rsidRPr="003B1198">
        <w:rPr>
          <w:rFonts w:ascii="Arial" w:hAnsi="Arial" w:cs="Arial"/>
          <w:sz w:val="24"/>
          <w:szCs w:val="24"/>
        </w:rPr>
        <w:t>Northern Ireland</w:t>
      </w:r>
      <w:r w:rsidR="00143C89" w:rsidRPr="003B1198">
        <w:rPr>
          <w:rFonts w:ascii="Arial" w:hAnsi="Arial" w:cs="Arial"/>
          <w:sz w:val="24"/>
          <w:szCs w:val="24"/>
        </w:rPr>
        <w:t xml:space="preserve"> 201</w:t>
      </w:r>
      <w:r w:rsidR="00724FBB" w:rsidRPr="003B1198">
        <w:rPr>
          <w:rFonts w:ascii="Arial" w:hAnsi="Arial" w:cs="Arial"/>
          <w:sz w:val="24"/>
          <w:szCs w:val="24"/>
        </w:rPr>
        <w:t>6</w:t>
      </w:r>
      <w:r w:rsidR="00143C89" w:rsidRPr="003B1198">
        <w:rPr>
          <w:rFonts w:ascii="Arial" w:hAnsi="Arial" w:cs="Arial"/>
          <w:sz w:val="24"/>
          <w:szCs w:val="24"/>
        </w:rPr>
        <w:t xml:space="preserve"> Sch 8 did not apply to him. </w:t>
      </w:r>
      <w:r w:rsidR="004F2965" w:rsidRPr="003B1198">
        <w:rPr>
          <w:rFonts w:ascii="Arial" w:hAnsi="Arial" w:cs="Arial"/>
          <w:sz w:val="24"/>
          <w:szCs w:val="24"/>
        </w:rPr>
        <w:t xml:space="preserve"> </w:t>
      </w:r>
      <w:proofErr w:type="gramStart"/>
      <w:r w:rsidR="004F2965" w:rsidRPr="003B1198">
        <w:rPr>
          <w:rFonts w:ascii="Arial" w:hAnsi="Arial" w:cs="Arial"/>
          <w:sz w:val="24"/>
          <w:szCs w:val="24"/>
        </w:rPr>
        <w:t>So</w:t>
      </w:r>
      <w:proofErr w:type="gramEnd"/>
      <w:r w:rsidR="004F2965" w:rsidRPr="003B1198">
        <w:rPr>
          <w:rFonts w:ascii="Arial" w:hAnsi="Arial" w:cs="Arial"/>
          <w:sz w:val="24"/>
          <w:szCs w:val="24"/>
        </w:rPr>
        <w:t xml:space="preserve"> holding</w:t>
      </w:r>
      <w:r w:rsidR="00275EA4" w:rsidRPr="003B1198">
        <w:rPr>
          <w:rFonts w:ascii="Arial" w:hAnsi="Arial" w:cs="Arial"/>
          <w:sz w:val="24"/>
          <w:szCs w:val="24"/>
        </w:rPr>
        <w:t xml:space="preserve">, it did not go on to consider </w:t>
      </w:r>
      <w:r w:rsidR="00AA23A2" w:rsidRPr="003B1198">
        <w:rPr>
          <w:rFonts w:ascii="Arial" w:hAnsi="Arial" w:cs="Arial"/>
          <w:sz w:val="24"/>
          <w:szCs w:val="24"/>
        </w:rPr>
        <w:t xml:space="preserve">whether the </w:t>
      </w:r>
      <w:r w:rsidR="002C5F0D" w:rsidRPr="003B1198">
        <w:rPr>
          <w:rFonts w:ascii="Arial" w:hAnsi="Arial" w:cs="Arial"/>
          <w:sz w:val="24"/>
          <w:szCs w:val="24"/>
        </w:rPr>
        <w:t>a</w:t>
      </w:r>
      <w:r w:rsidR="00FD442A" w:rsidRPr="003B1198">
        <w:rPr>
          <w:rFonts w:ascii="Arial" w:hAnsi="Arial" w:cs="Arial"/>
          <w:sz w:val="24"/>
          <w:szCs w:val="24"/>
        </w:rPr>
        <w:t>ppellant</w:t>
      </w:r>
      <w:r w:rsidR="00AA23A2" w:rsidRPr="003B1198">
        <w:rPr>
          <w:rFonts w:ascii="Arial" w:hAnsi="Arial" w:cs="Arial"/>
          <w:sz w:val="24"/>
          <w:szCs w:val="24"/>
        </w:rPr>
        <w:t xml:space="preserve"> had both LCW and limited </w:t>
      </w:r>
      <w:r w:rsidR="00EE7DEB" w:rsidRPr="003B1198">
        <w:rPr>
          <w:rFonts w:ascii="Arial" w:hAnsi="Arial" w:cs="Arial"/>
          <w:sz w:val="24"/>
          <w:szCs w:val="24"/>
        </w:rPr>
        <w:t>capability</w:t>
      </w:r>
      <w:r w:rsidR="00AA23A2" w:rsidRPr="003B1198">
        <w:rPr>
          <w:rFonts w:ascii="Arial" w:hAnsi="Arial" w:cs="Arial"/>
          <w:sz w:val="24"/>
          <w:szCs w:val="24"/>
        </w:rPr>
        <w:t xml:space="preserve"> for work related activity </w:t>
      </w:r>
      <w:r w:rsidR="00EE7DEB" w:rsidRPr="003B1198">
        <w:rPr>
          <w:rFonts w:ascii="Arial" w:hAnsi="Arial" w:cs="Arial"/>
          <w:sz w:val="24"/>
          <w:szCs w:val="24"/>
        </w:rPr>
        <w:t>(</w:t>
      </w:r>
      <w:r w:rsidR="00AA23A2" w:rsidRPr="003B1198">
        <w:rPr>
          <w:rFonts w:ascii="Arial" w:hAnsi="Arial" w:cs="Arial"/>
          <w:sz w:val="24"/>
          <w:szCs w:val="24"/>
        </w:rPr>
        <w:t>LCWRA) nor whether h</w:t>
      </w:r>
      <w:r w:rsidR="00EE7DEB" w:rsidRPr="003B1198">
        <w:rPr>
          <w:rFonts w:ascii="Arial" w:hAnsi="Arial" w:cs="Arial"/>
          <w:sz w:val="24"/>
          <w:szCs w:val="24"/>
        </w:rPr>
        <w:t>e</w:t>
      </w:r>
      <w:r w:rsidR="00A86707" w:rsidRPr="003B1198">
        <w:rPr>
          <w:rFonts w:ascii="Arial" w:hAnsi="Arial" w:cs="Arial"/>
          <w:sz w:val="24"/>
          <w:szCs w:val="24"/>
        </w:rPr>
        <w:t xml:space="preserve"> </w:t>
      </w:r>
      <w:r w:rsidR="00AA23A2" w:rsidRPr="003B1198">
        <w:rPr>
          <w:rFonts w:ascii="Arial" w:hAnsi="Arial" w:cs="Arial"/>
          <w:sz w:val="24"/>
          <w:szCs w:val="24"/>
        </w:rPr>
        <w:t xml:space="preserve">could be </w:t>
      </w:r>
      <w:r w:rsidR="00A86707" w:rsidRPr="003B1198">
        <w:rPr>
          <w:rFonts w:ascii="Arial" w:hAnsi="Arial" w:cs="Arial"/>
          <w:sz w:val="24"/>
          <w:szCs w:val="24"/>
        </w:rPr>
        <w:t>treated</w:t>
      </w:r>
      <w:r w:rsidR="00AA23A2" w:rsidRPr="003B1198">
        <w:rPr>
          <w:rFonts w:ascii="Arial" w:hAnsi="Arial" w:cs="Arial"/>
          <w:sz w:val="24"/>
          <w:szCs w:val="24"/>
        </w:rPr>
        <w:t xml:space="preserve"> as </w:t>
      </w:r>
      <w:r w:rsidR="00EE7DEB" w:rsidRPr="003B1198">
        <w:rPr>
          <w:rFonts w:ascii="Arial" w:hAnsi="Arial" w:cs="Arial"/>
          <w:sz w:val="24"/>
          <w:szCs w:val="24"/>
        </w:rPr>
        <w:t>having</w:t>
      </w:r>
      <w:r w:rsidR="00AA23A2" w:rsidRPr="003B1198">
        <w:rPr>
          <w:rFonts w:ascii="Arial" w:hAnsi="Arial" w:cs="Arial"/>
          <w:sz w:val="24"/>
          <w:szCs w:val="24"/>
        </w:rPr>
        <w:t xml:space="preserve"> </w:t>
      </w:r>
      <w:r w:rsidR="00EB30BB" w:rsidRPr="003B1198">
        <w:rPr>
          <w:rFonts w:ascii="Arial" w:hAnsi="Arial" w:cs="Arial"/>
          <w:sz w:val="24"/>
          <w:szCs w:val="24"/>
        </w:rPr>
        <w:t xml:space="preserve">LCW and </w:t>
      </w:r>
      <w:r w:rsidR="00AA23A2" w:rsidRPr="003B1198">
        <w:rPr>
          <w:rFonts w:ascii="Arial" w:hAnsi="Arial" w:cs="Arial"/>
          <w:sz w:val="24"/>
          <w:szCs w:val="24"/>
        </w:rPr>
        <w:t>LCWRA.</w:t>
      </w:r>
    </w:p>
    <w:p w14:paraId="3FE8F256" w14:textId="77777777" w:rsidR="00355E3E" w:rsidRPr="003B1198" w:rsidRDefault="00355E3E" w:rsidP="00D42D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6A5B252" w14:textId="4930D006" w:rsidR="00355E3E" w:rsidRPr="003B1198" w:rsidRDefault="006A5C2C" w:rsidP="00D42D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w:t>
      </w:r>
      <w:r>
        <w:rPr>
          <w:rFonts w:ascii="Arial" w:hAnsi="Arial" w:cs="Arial"/>
          <w:sz w:val="24"/>
          <w:szCs w:val="24"/>
        </w:rPr>
        <w:tab/>
      </w:r>
      <w:r w:rsidR="00143C89" w:rsidRPr="003B1198">
        <w:rPr>
          <w:rFonts w:ascii="Arial" w:hAnsi="Arial" w:cs="Arial"/>
          <w:sz w:val="24"/>
          <w:szCs w:val="24"/>
        </w:rPr>
        <w:t xml:space="preserve">The </w:t>
      </w:r>
      <w:r w:rsidR="002C5F0D" w:rsidRPr="003B1198">
        <w:rPr>
          <w:rFonts w:ascii="Arial" w:hAnsi="Arial" w:cs="Arial"/>
          <w:sz w:val="24"/>
          <w:szCs w:val="24"/>
        </w:rPr>
        <w:t>a</w:t>
      </w:r>
      <w:r w:rsidR="00A86707" w:rsidRPr="003B1198">
        <w:rPr>
          <w:rFonts w:ascii="Arial" w:hAnsi="Arial" w:cs="Arial"/>
          <w:sz w:val="24"/>
          <w:szCs w:val="24"/>
        </w:rPr>
        <w:t>ppellant</w:t>
      </w:r>
      <w:r w:rsidR="00143C89" w:rsidRPr="003B1198">
        <w:rPr>
          <w:rFonts w:ascii="Arial" w:hAnsi="Arial" w:cs="Arial"/>
          <w:sz w:val="24"/>
          <w:szCs w:val="24"/>
        </w:rPr>
        <w:t xml:space="preserve"> </w:t>
      </w:r>
      <w:r w:rsidR="00EE7DEB" w:rsidRPr="003B1198">
        <w:rPr>
          <w:rFonts w:ascii="Arial" w:hAnsi="Arial" w:cs="Arial"/>
          <w:sz w:val="24"/>
          <w:szCs w:val="24"/>
        </w:rPr>
        <w:t>sought</w:t>
      </w:r>
      <w:r w:rsidR="00143C89" w:rsidRPr="003B1198">
        <w:rPr>
          <w:rFonts w:ascii="Arial" w:hAnsi="Arial" w:cs="Arial"/>
          <w:sz w:val="24"/>
          <w:szCs w:val="24"/>
        </w:rPr>
        <w:t xml:space="preserve"> leave</w:t>
      </w:r>
      <w:r w:rsidR="00926C06" w:rsidRPr="003B1198">
        <w:rPr>
          <w:rFonts w:ascii="Arial" w:hAnsi="Arial" w:cs="Arial"/>
          <w:sz w:val="24"/>
          <w:szCs w:val="24"/>
        </w:rPr>
        <w:t>,</w:t>
      </w:r>
      <w:r w:rsidR="00143C89" w:rsidRPr="003B1198">
        <w:rPr>
          <w:rFonts w:ascii="Arial" w:hAnsi="Arial" w:cs="Arial"/>
          <w:sz w:val="24"/>
          <w:szCs w:val="24"/>
        </w:rPr>
        <w:t xml:space="preserve"> contending in </w:t>
      </w:r>
      <w:r w:rsidR="00A86707" w:rsidRPr="003B1198">
        <w:rPr>
          <w:rFonts w:ascii="Arial" w:hAnsi="Arial" w:cs="Arial"/>
          <w:sz w:val="24"/>
          <w:szCs w:val="24"/>
        </w:rPr>
        <w:t>summary</w:t>
      </w:r>
      <w:r w:rsidR="00143C89" w:rsidRPr="003B1198">
        <w:rPr>
          <w:rFonts w:ascii="Arial" w:hAnsi="Arial" w:cs="Arial"/>
          <w:sz w:val="24"/>
          <w:szCs w:val="24"/>
        </w:rPr>
        <w:t xml:space="preserve"> that (a) the tribunal had </w:t>
      </w:r>
      <w:r w:rsidR="00A86707" w:rsidRPr="003B1198">
        <w:rPr>
          <w:rFonts w:ascii="Arial" w:hAnsi="Arial" w:cs="Arial"/>
          <w:sz w:val="24"/>
          <w:szCs w:val="24"/>
        </w:rPr>
        <w:t>failed</w:t>
      </w:r>
      <w:r w:rsidR="00143C89" w:rsidRPr="003B1198">
        <w:rPr>
          <w:rFonts w:ascii="Arial" w:hAnsi="Arial" w:cs="Arial"/>
          <w:sz w:val="24"/>
          <w:szCs w:val="24"/>
        </w:rPr>
        <w:t xml:space="preserve"> to engage with the </w:t>
      </w:r>
      <w:r w:rsidR="00A86707" w:rsidRPr="003B1198">
        <w:rPr>
          <w:rFonts w:ascii="Arial" w:hAnsi="Arial" w:cs="Arial"/>
          <w:sz w:val="24"/>
          <w:szCs w:val="24"/>
        </w:rPr>
        <w:t>GP</w:t>
      </w:r>
      <w:r w:rsidR="00143C89" w:rsidRPr="003B1198">
        <w:rPr>
          <w:rFonts w:ascii="Arial" w:hAnsi="Arial" w:cs="Arial"/>
          <w:sz w:val="24"/>
          <w:szCs w:val="24"/>
        </w:rPr>
        <w:t xml:space="preserve">’s </w:t>
      </w:r>
      <w:r w:rsidR="00A86707" w:rsidRPr="003B1198">
        <w:rPr>
          <w:rFonts w:ascii="Arial" w:hAnsi="Arial" w:cs="Arial"/>
          <w:sz w:val="24"/>
          <w:szCs w:val="24"/>
        </w:rPr>
        <w:t>evidence</w:t>
      </w:r>
      <w:r w:rsidR="00143C89" w:rsidRPr="003B1198">
        <w:rPr>
          <w:rFonts w:ascii="Arial" w:hAnsi="Arial" w:cs="Arial"/>
          <w:sz w:val="24"/>
          <w:szCs w:val="24"/>
        </w:rPr>
        <w:t xml:space="preserve"> and in particular had </w:t>
      </w:r>
      <w:r w:rsidR="00A86707" w:rsidRPr="003B1198">
        <w:rPr>
          <w:rFonts w:ascii="Arial" w:hAnsi="Arial" w:cs="Arial"/>
          <w:sz w:val="24"/>
          <w:szCs w:val="24"/>
        </w:rPr>
        <w:t>failed</w:t>
      </w:r>
      <w:r w:rsidR="00143C89" w:rsidRPr="003B1198">
        <w:rPr>
          <w:rFonts w:ascii="Arial" w:hAnsi="Arial" w:cs="Arial"/>
          <w:sz w:val="24"/>
          <w:szCs w:val="24"/>
        </w:rPr>
        <w:t xml:space="preserve"> to provide any justification for departing from it; (b) the only </w:t>
      </w:r>
      <w:r w:rsidR="00A86707" w:rsidRPr="003B1198">
        <w:rPr>
          <w:rFonts w:ascii="Arial" w:hAnsi="Arial" w:cs="Arial"/>
          <w:sz w:val="24"/>
          <w:szCs w:val="24"/>
        </w:rPr>
        <w:t>legitimate</w:t>
      </w:r>
      <w:r w:rsidR="00143C89" w:rsidRPr="003B1198">
        <w:rPr>
          <w:rFonts w:ascii="Arial" w:hAnsi="Arial" w:cs="Arial"/>
          <w:sz w:val="24"/>
          <w:szCs w:val="24"/>
        </w:rPr>
        <w:t xml:space="preserve"> conclusion on the evidence was that </w:t>
      </w:r>
      <w:r w:rsidR="00926C06" w:rsidRPr="003B1198">
        <w:rPr>
          <w:rFonts w:ascii="Arial" w:hAnsi="Arial" w:cs="Arial"/>
          <w:sz w:val="24"/>
          <w:szCs w:val="24"/>
        </w:rPr>
        <w:t>he</w:t>
      </w:r>
      <w:r w:rsidR="00143C89" w:rsidRPr="003B1198">
        <w:rPr>
          <w:rFonts w:ascii="Arial" w:hAnsi="Arial" w:cs="Arial"/>
          <w:sz w:val="24"/>
          <w:szCs w:val="24"/>
        </w:rPr>
        <w:t xml:space="preserve"> was not fit for any type of work and the </w:t>
      </w:r>
      <w:r w:rsidR="00926C06" w:rsidRPr="003B1198">
        <w:rPr>
          <w:rFonts w:ascii="Arial" w:hAnsi="Arial" w:cs="Arial"/>
          <w:sz w:val="24"/>
          <w:szCs w:val="24"/>
        </w:rPr>
        <w:t>t</w:t>
      </w:r>
      <w:r w:rsidR="00A86707" w:rsidRPr="003B1198">
        <w:rPr>
          <w:rFonts w:ascii="Arial" w:hAnsi="Arial" w:cs="Arial"/>
          <w:sz w:val="24"/>
          <w:szCs w:val="24"/>
        </w:rPr>
        <w:t>ribunal’s</w:t>
      </w:r>
      <w:r w:rsidR="00143C89" w:rsidRPr="003B1198">
        <w:rPr>
          <w:rFonts w:ascii="Arial" w:hAnsi="Arial" w:cs="Arial"/>
          <w:sz w:val="24"/>
          <w:szCs w:val="24"/>
        </w:rPr>
        <w:t xml:space="preserve"> conclusion otherwise was perverse; and (c) the tribunal’s findings and reasons were inadequate to address the </w:t>
      </w:r>
      <w:r w:rsidR="002C5F0D" w:rsidRPr="003B1198">
        <w:rPr>
          <w:rFonts w:ascii="Arial" w:hAnsi="Arial" w:cs="Arial"/>
          <w:sz w:val="24"/>
          <w:szCs w:val="24"/>
        </w:rPr>
        <w:t>a</w:t>
      </w:r>
      <w:r w:rsidR="00A86707" w:rsidRPr="003B1198">
        <w:rPr>
          <w:rFonts w:ascii="Arial" w:hAnsi="Arial" w:cs="Arial"/>
          <w:sz w:val="24"/>
          <w:szCs w:val="24"/>
        </w:rPr>
        <w:t>ppellant’s</w:t>
      </w:r>
      <w:r w:rsidR="00143C89" w:rsidRPr="003B1198">
        <w:rPr>
          <w:rFonts w:ascii="Arial" w:hAnsi="Arial" w:cs="Arial"/>
          <w:sz w:val="24"/>
          <w:szCs w:val="24"/>
        </w:rPr>
        <w:t xml:space="preserve"> arguments.</w:t>
      </w:r>
    </w:p>
    <w:p w14:paraId="7DB6CEE6" w14:textId="77777777" w:rsidR="00355E3E" w:rsidRPr="003B1198" w:rsidRDefault="00355E3E" w:rsidP="00D42D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92C48F6" w14:textId="3CCE050D" w:rsidR="00355E3E" w:rsidRPr="003B1198" w:rsidRDefault="006A5C2C" w:rsidP="00D42D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w:t>
      </w:r>
      <w:r>
        <w:rPr>
          <w:rFonts w:ascii="Arial" w:hAnsi="Arial" w:cs="Arial"/>
          <w:sz w:val="24"/>
          <w:szCs w:val="24"/>
        </w:rPr>
        <w:tab/>
      </w:r>
      <w:r w:rsidR="00143C89" w:rsidRPr="003B1198">
        <w:rPr>
          <w:rFonts w:ascii="Arial" w:hAnsi="Arial" w:cs="Arial"/>
          <w:sz w:val="24"/>
          <w:szCs w:val="24"/>
        </w:rPr>
        <w:t xml:space="preserve">In the usual way, the Department’s observations were </w:t>
      </w:r>
      <w:r w:rsidR="00A86707" w:rsidRPr="003B1198">
        <w:rPr>
          <w:rFonts w:ascii="Arial" w:hAnsi="Arial" w:cs="Arial"/>
          <w:sz w:val="24"/>
          <w:szCs w:val="24"/>
        </w:rPr>
        <w:t>invited</w:t>
      </w:r>
      <w:r w:rsidR="00143C89" w:rsidRPr="003B1198">
        <w:rPr>
          <w:rFonts w:ascii="Arial" w:hAnsi="Arial" w:cs="Arial"/>
          <w:sz w:val="24"/>
          <w:szCs w:val="24"/>
        </w:rPr>
        <w:t xml:space="preserve"> on the application.  These were </w:t>
      </w:r>
      <w:r w:rsidR="00A86707" w:rsidRPr="003B1198">
        <w:rPr>
          <w:rFonts w:ascii="Arial" w:hAnsi="Arial" w:cs="Arial"/>
          <w:sz w:val="24"/>
          <w:szCs w:val="24"/>
        </w:rPr>
        <w:t>provided</w:t>
      </w:r>
      <w:r w:rsidR="00143C89" w:rsidRPr="003B1198">
        <w:rPr>
          <w:rFonts w:ascii="Arial" w:hAnsi="Arial" w:cs="Arial"/>
          <w:sz w:val="24"/>
          <w:szCs w:val="24"/>
        </w:rPr>
        <w:t xml:space="preserve"> in a submission dated 24 January 2024 by Lisa Toner.  She opposed the granting of leave</w:t>
      </w:r>
      <w:r w:rsidR="00B21830" w:rsidRPr="003B1198">
        <w:rPr>
          <w:rFonts w:ascii="Arial" w:hAnsi="Arial" w:cs="Arial"/>
          <w:sz w:val="24"/>
          <w:szCs w:val="24"/>
        </w:rPr>
        <w:t>,</w:t>
      </w:r>
      <w:r w:rsidR="00143C89" w:rsidRPr="003B1198">
        <w:rPr>
          <w:rFonts w:ascii="Arial" w:hAnsi="Arial" w:cs="Arial"/>
          <w:sz w:val="24"/>
          <w:szCs w:val="24"/>
        </w:rPr>
        <w:t xml:space="preserve"> for </w:t>
      </w:r>
      <w:r w:rsidR="00A86707" w:rsidRPr="003B1198">
        <w:rPr>
          <w:rFonts w:ascii="Arial" w:hAnsi="Arial" w:cs="Arial"/>
          <w:sz w:val="24"/>
          <w:szCs w:val="24"/>
        </w:rPr>
        <w:t>reasons</w:t>
      </w:r>
      <w:r w:rsidR="00143C89" w:rsidRPr="003B1198">
        <w:rPr>
          <w:rFonts w:ascii="Arial" w:hAnsi="Arial" w:cs="Arial"/>
          <w:sz w:val="24"/>
          <w:szCs w:val="24"/>
        </w:rPr>
        <w:t xml:space="preserve"> which she gave</w:t>
      </w:r>
      <w:r w:rsidR="00B21830" w:rsidRPr="003B1198">
        <w:rPr>
          <w:rFonts w:ascii="Arial" w:hAnsi="Arial" w:cs="Arial"/>
          <w:sz w:val="24"/>
          <w:szCs w:val="24"/>
        </w:rPr>
        <w:t>,</w:t>
      </w:r>
      <w:r w:rsidR="00EE7DEB" w:rsidRPr="003B1198">
        <w:rPr>
          <w:rFonts w:ascii="Arial" w:hAnsi="Arial" w:cs="Arial"/>
          <w:sz w:val="24"/>
          <w:szCs w:val="24"/>
        </w:rPr>
        <w:t xml:space="preserve"> </w:t>
      </w:r>
      <w:r w:rsidR="00143C89" w:rsidRPr="003B1198">
        <w:rPr>
          <w:rFonts w:ascii="Arial" w:hAnsi="Arial" w:cs="Arial"/>
          <w:sz w:val="24"/>
          <w:szCs w:val="24"/>
        </w:rPr>
        <w:t xml:space="preserve">but </w:t>
      </w:r>
      <w:r w:rsidR="00A86707" w:rsidRPr="003B1198">
        <w:rPr>
          <w:rFonts w:ascii="Arial" w:hAnsi="Arial" w:cs="Arial"/>
          <w:sz w:val="24"/>
          <w:szCs w:val="24"/>
        </w:rPr>
        <w:t>indicate</w:t>
      </w:r>
      <w:r w:rsidR="00EE7DEB" w:rsidRPr="003B1198">
        <w:rPr>
          <w:rFonts w:ascii="Arial" w:hAnsi="Arial" w:cs="Arial"/>
          <w:sz w:val="24"/>
          <w:szCs w:val="24"/>
        </w:rPr>
        <w:t>d</w:t>
      </w:r>
      <w:r w:rsidR="00143C89" w:rsidRPr="003B1198">
        <w:rPr>
          <w:rFonts w:ascii="Arial" w:hAnsi="Arial" w:cs="Arial"/>
          <w:sz w:val="24"/>
          <w:szCs w:val="24"/>
        </w:rPr>
        <w:t xml:space="preserve"> that </w:t>
      </w:r>
      <w:r w:rsidR="00EE7DEB" w:rsidRPr="003B1198">
        <w:rPr>
          <w:rFonts w:ascii="Arial" w:hAnsi="Arial" w:cs="Arial"/>
          <w:sz w:val="24"/>
          <w:szCs w:val="24"/>
        </w:rPr>
        <w:t>if the</w:t>
      </w:r>
      <w:r w:rsidR="00143C89" w:rsidRPr="003B1198">
        <w:rPr>
          <w:rFonts w:ascii="Arial" w:hAnsi="Arial" w:cs="Arial"/>
          <w:sz w:val="24"/>
          <w:szCs w:val="24"/>
        </w:rPr>
        <w:t xml:space="preserve"> </w:t>
      </w:r>
      <w:r w:rsidR="00EE7DEB" w:rsidRPr="003B1198">
        <w:rPr>
          <w:rFonts w:ascii="Arial" w:hAnsi="Arial" w:cs="Arial"/>
          <w:sz w:val="24"/>
          <w:szCs w:val="24"/>
        </w:rPr>
        <w:t>Commissioner</w:t>
      </w:r>
      <w:r w:rsidR="00143C89" w:rsidRPr="003B1198">
        <w:rPr>
          <w:rFonts w:ascii="Arial" w:hAnsi="Arial" w:cs="Arial"/>
          <w:sz w:val="24"/>
          <w:szCs w:val="24"/>
        </w:rPr>
        <w:t xml:space="preserve"> were to grant </w:t>
      </w:r>
      <w:r w:rsidR="00A86707" w:rsidRPr="003B1198">
        <w:rPr>
          <w:rFonts w:ascii="Arial" w:hAnsi="Arial" w:cs="Arial"/>
          <w:sz w:val="24"/>
          <w:szCs w:val="24"/>
        </w:rPr>
        <w:t>leave</w:t>
      </w:r>
      <w:r w:rsidR="00143C89" w:rsidRPr="003B1198">
        <w:rPr>
          <w:rFonts w:ascii="Arial" w:hAnsi="Arial" w:cs="Arial"/>
          <w:sz w:val="24"/>
          <w:szCs w:val="24"/>
        </w:rPr>
        <w:t xml:space="preserve"> </w:t>
      </w:r>
      <w:r w:rsidR="00EE7DEB" w:rsidRPr="003B1198">
        <w:rPr>
          <w:rFonts w:ascii="Arial" w:hAnsi="Arial" w:cs="Arial"/>
          <w:sz w:val="24"/>
          <w:szCs w:val="24"/>
        </w:rPr>
        <w:t>to</w:t>
      </w:r>
      <w:r w:rsidR="00143C89" w:rsidRPr="003B1198">
        <w:rPr>
          <w:rFonts w:ascii="Arial" w:hAnsi="Arial" w:cs="Arial"/>
          <w:sz w:val="24"/>
          <w:szCs w:val="24"/>
        </w:rPr>
        <w:t xml:space="preserve"> </w:t>
      </w:r>
      <w:r w:rsidR="00EE7DEB" w:rsidRPr="003B1198">
        <w:rPr>
          <w:rFonts w:ascii="Arial" w:hAnsi="Arial" w:cs="Arial"/>
          <w:sz w:val="24"/>
          <w:szCs w:val="24"/>
        </w:rPr>
        <w:t>appeal, her</w:t>
      </w:r>
      <w:r w:rsidR="00143C89" w:rsidRPr="003B1198">
        <w:rPr>
          <w:rFonts w:ascii="Arial" w:hAnsi="Arial" w:cs="Arial"/>
          <w:sz w:val="24"/>
          <w:szCs w:val="24"/>
        </w:rPr>
        <w:t xml:space="preserve"> </w:t>
      </w:r>
      <w:r w:rsidR="00EE7DEB" w:rsidRPr="003B1198">
        <w:rPr>
          <w:rFonts w:ascii="Arial" w:hAnsi="Arial" w:cs="Arial"/>
          <w:sz w:val="24"/>
          <w:szCs w:val="24"/>
        </w:rPr>
        <w:t>observations</w:t>
      </w:r>
      <w:r w:rsidR="00143C89" w:rsidRPr="003B1198">
        <w:rPr>
          <w:rFonts w:ascii="Arial" w:hAnsi="Arial" w:cs="Arial"/>
          <w:sz w:val="24"/>
          <w:szCs w:val="24"/>
        </w:rPr>
        <w:t xml:space="preserve"> could be taken under reg 18</w:t>
      </w:r>
      <w:r w:rsidR="00EE7DEB" w:rsidRPr="003B1198">
        <w:rPr>
          <w:rFonts w:ascii="Arial" w:hAnsi="Arial" w:cs="Arial"/>
          <w:sz w:val="24"/>
          <w:szCs w:val="24"/>
        </w:rPr>
        <w:t>(</w:t>
      </w:r>
      <w:r w:rsidR="00143C89" w:rsidRPr="003B1198">
        <w:rPr>
          <w:rFonts w:ascii="Arial" w:hAnsi="Arial" w:cs="Arial"/>
          <w:sz w:val="24"/>
          <w:szCs w:val="24"/>
        </w:rPr>
        <w:t xml:space="preserve">1) of the Social Security </w:t>
      </w:r>
      <w:r w:rsidR="00A86707" w:rsidRPr="003B1198">
        <w:rPr>
          <w:rFonts w:ascii="Arial" w:hAnsi="Arial" w:cs="Arial"/>
          <w:sz w:val="24"/>
          <w:szCs w:val="24"/>
        </w:rPr>
        <w:t>Commissioners</w:t>
      </w:r>
      <w:r w:rsidR="00143C89" w:rsidRPr="003B1198">
        <w:rPr>
          <w:rFonts w:ascii="Arial" w:hAnsi="Arial" w:cs="Arial"/>
          <w:sz w:val="24"/>
          <w:szCs w:val="24"/>
        </w:rPr>
        <w:t xml:space="preserve"> (Procedure) Regulations (Northern Ireland) 1999</w:t>
      </w:r>
      <w:r w:rsidR="00EE7DEB" w:rsidRPr="003B1198">
        <w:rPr>
          <w:rFonts w:ascii="Arial" w:hAnsi="Arial" w:cs="Arial"/>
          <w:sz w:val="24"/>
          <w:szCs w:val="24"/>
        </w:rPr>
        <w:t xml:space="preserve"> as being observations on the appeal.</w:t>
      </w:r>
    </w:p>
    <w:p w14:paraId="62F7E580" w14:textId="77777777" w:rsidR="00355E3E" w:rsidRPr="003B1198" w:rsidRDefault="00355E3E" w:rsidP="00D42D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5B2C3B10" w14:textId="2C1CE593" w:rsidR="00355E3E" w:rsidRPr="003B1198" w:rsidRDefault="006A5C2C" w:rsidP="00D42D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8.</w:t>
      </w:r>
      <w:r>
        <w:rPr>
          <w:rFonts w:ascii="Arial" w:hAnsi="Arial" w:cs="Arial"/>
          <w:sz w:val="24"/>
          <w:szCs w:val="24"/>
        </w:rPr>
        <w:tab/>
      </w:r>
      <w:r w:rsidR="00143C89" w:rsidRPr="003B1198">
        <w:rPr>
          <w:rFonts w:ascii="Arial" w:hAnsi="Arial" w:cs="Arial"/>
          <w:sz w:val="24"/>
          <w:szCs w:val="24"/>
        </w:rPr>
        <w:t xml:space="preserve">In reply, the </w:t>
      </w:r>
      <w:r w:rsidR="002C5F0D" w:rsidRPr="003B1198">
        <w:rPr>
          <w:rFonts w:ascii="Arial" w:hAnsi="Arial" w:cs="Arial"/>
          <w:sz w:val="24"/>
          <w:szCs w:val="24"/>
        </w:rPr>
        <w:t>a</w:t>
      </w:r>
      <w:r w:rsidR="00A86707" w:rsidRPr="003B1198">
        <w:rPr>
          <w:rFonts w:ascii="Arial" w:hAnsi="Arial" w:cs="Arial"/>
          <w:sz w:val="24"/>
          <w:szCs w:val="24"/>
        </w:rPr>
        <w:t>ppellant</w:t>
      </w:r>
      <w:r w:rsidR="00143C89" w:rsidRPr="003B1198">
        <w:rPr>
          <w:rFonts w:ascii="Arial" w:hAnsi="Arial" w:cs="Arial"/>
          <w:sz w:val="24"/>
          <w:szCs w:val="24"/>
        </w:rPr>
        <w:t xml:space="preserve"> and Ms R continued t</w:t>
      </w:r>
      <w:r w:rsidR="00A86707" w:rsidRPr="003B1198">
        <w:rPr>
          <w:rFonts w:ascii="Arial" w:hAnsi="Arial" w:cs="Arial"/>
          <w:sz w:val="24"/>
          <w:szCs w:val="24"/>
        </w:rPr>
        <w:t xml:space="preserve">o </w:t>
      </w:r>
      <w:r w:rsidR="00143C89" w:rsidRPr="003B1198">
        <w:rPr>
          <w:rFonts w:ascii="Arial" w:hAnsi="Arial" w:cs="Arial"/>
          <w:sz w:val="24"/>
          <w:szCs w:val="24"/>
        </w:rPr>
        <w:t xml:space="preserve">dispute the Tribunal’s record of what the </w:t>
      </w:r>
      <w:r w:rsidR="002C5F0D" w:rsidRPr="003B1198">
        <w:rPr>
          <w:rFonts w:ascii="Arial" w:hAnsi="Arial" w:cs="Arial"/>
          <w:sz w:val="24"/>
          <w:szCs w:val="24"/>
        </w:rPr>
        <w:t>a</w:t>
      </w:r>
      <w:r w:rsidR="00A86707" w:rsidRPr="003B1198">
        <w:rPr>
          <w:rFonts w:ascii="Arial" w:hAnsi="Arial" w:cs="Arial"/>
          <w:sz w:val="24"/>
          <w:szCs w:val="24"/>
        </w:rPr>
        <w:t>ppellant</w:t>
      </w:r>
      <w:r w:rsidR="00143C89" w:rsidRPr="003B1198">
        <w:rPr>
          <w:rFonts w:ascii="Arial" w:hAnsi="Arial" w:cs="Arial"/>
          <w:sz w:val="24"/>
          <w:szCs w:val="24"/>
        </w:rPr>
        <w:t xml:space="preserve"> had purportedly said.</w:t>
      </w:r>
    </w:p>
    <w:p w14:paraId="4AE2AD4D" w14:textId="77777777" w:rsidR="00355E3E" w:rsidRPr="003B1198" w:rsidRDefault="00355E3E" w:rsidP="00D42D2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751F50AA" w14:textId="77C8EDB5" w:rsidR="00143C89" w:rsidRPr="003B1198" w:rsidRDefault="006A5C2C" w:rsidP="00D42D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9.</w:t>
      </w:r>
      <w:r>
        <w:rPr>
          <w:rFonts w:ascii="Arial" w:hAnsi="Arial" w:cs="Arial"/>
          <w:sz w:val="24"/>
          <w:szCs w:val="24"/>
        </w:rPr>
        <w:tab/>
      </w:r>
      <w:r w:rsidR="00143C89" w:rsidRPr="003B1198">
        <w:rPr>
          <w:rFonts w:ascii="Arial" w:hAnsi="Arial" w:cs="Arial"/>
          <w:sz w:val="24"/>
          <w:szCs w:val="24"/>
        </w:rPr>
        <w:t xml:space="preserve">By case management </w:t>
      </w:r>
      <w:r w:rsidR="00A86707" w:rsidRPr="003B1198">
        <w:rPr>
          <w:rFonts w:ascii="Arial" w:hAnsi="Arial" w:cs="Arial"/>
          <w:sz w:val="24"/>
          <w:szCs w:val="24"/>
        </w:rPr>
        <w:t>directions</w:t>
      </w:r>
      <w:r w:rsidR="00143C89" w:rsidRPr="003B1198">
        <w:rPr>
          <w:rFonts w:ascii="Arial" w:hAnsi="Arial" w:cs="Arial"/>
          <w:sz w:val="24"/>
          <w:szCs w:val="24"/>
        </w:rPr>
        <w:t xml:space="preserve"> dated 30 December 2024 </w:t>
      </w:r>
      <w:r w:rsidR="00037618" w:rsidRPr="003B1198">
        <w:rPr>
          <w:rFonts w:ascii="Arial" w:hAnsi="Arial" w:cs="Arial"/>
          <w:sz w:val="24"/>
          <w:szCs w:val="24"/>
        </w:rPr>
        <w:t xml:space="preserve">I formulated two matters which I </w:t>
      </w:r>
      <w:r w:rsidR="00A86707" w:rsidRPr="003B1198">
        <w:rPr>
          <w:rFonts w:ascii="Arial" w:hAnsi="Arial" w:cs="Arial"/>
          <w:sz w:val="24"/>
          <w:szCs w:val="24"/>
        </w:rPr>
        <w:t>considered</w:t>
      </w:r>
      <w:r w:rsidR="00037618" w:rsidRPr="003B1198">
        <w:rPr>
          <w:rFonts w:ascii="Arial" w:hAnsi="Arial" w:cs="Arial"/>
          <w:sz w:val="24"/>
          <w:szCs w:val="24"/>
        </w:rPr>
        <w:t xml:space="preserve"> might </w:t>
      </w:r>
      <w:r w:rsidR="00EE7DEB" w:rsidRPr="003B1198">
        <w:rPr>
          <w:rFonts w:ascii="Arial" w:hAnsi="Arial" w:cs="Arial"/>
          <w:sz w:val="24"/>
          <w:szCs w:val="24"/>
        </w:rPr>
        <w:t>amount</w:t>
      </w:r>
      <w:r w:rsidR="00037618" w:rsidRPr="003B1198">
        <w:rPr>
          <w:rFonts w:ascii="Arial" w:hAnsi="Arial" w:cs="Arial"/>
          <w:sz w:val="24"/>
          <w:szCs w:val="24"/>
        </w:rPr>
        <w:t xml:space="preserve"> </w:t>
      </w:r>
      <w:r w:rsidR="00862D62" w:rsidRPr="003B1198">
        <w:rPr>
          <w:rFonts w:ascii="Arial" w:hAnsi="Arial" w:cs="Arial"/>
          <w:sz w:val="24"/>
          <w:szCs w:val="24"/>
        </w:rPr>
        <w:t>t</w:t>
      </w:r>
      <w:r w:rsidR="00037618" w:rsidRPr="003B1198">
        <w:rPr>
          <w:rFonts w:ascii="Arial" w:hAnsi="Arial" w:cs="Arial"/>
          <w:sz w:val="24"/>
          <w:szCs w:val="24"/>
        </w:rPr>
        <w:t>o arguable errors of law</w:t>
      </w:r>
      <w:r w:rsidR="003A3C48" w:rsidRPr="003B1198">
        <w:rPr>
          <w:rFonts w:ascii="Arial" w:hAnsi="Arial" w:cs="Arial"/>
          <w:sz w:val="24"/>
          <w:szCs w:val="24"/>
        </w:rPr>
        <w:t>,</w:t>
      </w:r>
      <w:r w:rsidR="00037618" w:rsidRPr="003B1198">
        <w:rPr>
          <w:rFonts w:ascii="Arial" w:hAnsi="Arial" w:cs="Arial"/>
          <w:sz w:val="24"/>
          <w:szCs w:val="24"/>
        </w:rPr>
        <w:t xml:space="preserve"> but which had not been put quite </w:t>
      </w:r>
      <w:r w:rsidR="00A86707" w:rsidRPr="003B1198">
        <w:rPr>
          <w:rFonts w:ascii="Arial" w:hAnsi="Arial" w:cs="Arial"/>
          <w:sz w:val="24"/>
          <w:szCs w:val="24"/>
        </w:rPr>
        <w:t>i</w:t>
      </w:r>
      <w:r w:rsidR="00037618" w:rsidRPr="003B1198">
        <w:rPr>
          <w:rFonts w:ascii="Arial" w:hAnsi="Arial" w:cs="Arial"/>
          <w:sz w:val="24"/>
          <w:szCs w:val="24"/>
        </w:rPr>
        <w:t>n th</w:t>
      </w:r>
      <w:r w:rsidR="003A3C48" w:rsidRPr="003B1198">
        <w:rPr>
          <w:rFonts w:ascii="Arial" w:hAnsi="Arial" w:cs="Arial"/>
          <w:sz w:val="24"/>
          <w:szCs w:val="24"/>
        </w:rPr>
        <w:t>at</w:t>
      </w:r>
      <w:r w:rsidR="00037618" w:rsidRPr="003B1198">
        <w:rPr>
          <w:rFonts w:ascii="Arial" w:hAnsi="Arial" w:cs="Arial"/>
          <w:sz w:val="24"/>
          <w:szCs w:val="24"/>
        </w:rPr>
        <w:t xml:space="preserve"> way by the </w:t>
      </w:r>
      <w:proofErr w:type="gramStart"/>
      <w:r w:rsidR="002C5F0D" w:rsidRPr="003B1198">
        <w:rPr>
          <w:rFonts w:ascii="Arial" w:hAnsi="Arial" w:cs="Arial"/>
          <w:sz w:val="24"/>
          <w:szCs w:val="24"/>
        </w:rPr>
        <w:t>a</w:t>
      </w:r>
      <w:r w:rsidR="00037618" w:rsidRPr="003B1198">
        <w:rPr>
          <w:rFonts w:ascii="Arial" w:hAnsi="Arial" w:cs="Arial"/>
          <w:sz w:val="24"/>
          <w:szCs w:val="24"/>
        </w:rPr>
        <w:t>ppe</w:t>
      </w:r>
      <w:r w:rsidR="00A86707" w:rsidRPr="003B1198">
        <w:rPr>
          <w:rFonts w:ascii="Arial" w:hAnsi="Arial" w:cs="Arial"/>
          <w:sz w:val="24"/>
          <w:szCs w:val="24"/>
        </w:rPr>
        <w:t>l</w:t>
      </w:r>
      <w:r w:rsidR="00037618" w:rsidRPr="003B1198">
        <w:rPr>
          <w:rFonts w:ascii="Arial" w:hAnsi="Arial" w:cs="Arial"/>
          <w:sz w:val="24"/>
          <w:szCs w:val="24"/>
        </w:rPr>
        <w:t>lant</w:t>
      </w:r>
      <w:r w:rsidR="003A3C48" w:rsidRPr="003B1198">
        <w:rPr>
          <w:rFonts w:ascii="Arial" w:hAnsi="Arial" w:cs="Arial"/>
          <w:sz w:val="24"/>
          <w:szCs w:val="24"/>
        </w:rPr>
        <w:t>,</w:t>
      </w:r>
      <w:r w:rsidR="00037618" w:rsidRPr="003B1198">
        <w:rPr>
          <w:rFonts w:ascii="Arial" w:hAnsi="Arial" w:cs="Arial"/>
          <w:sz w:val="24"/>
          <w:szCs w:val="24"/>
        </w:rPr>
        <w:t xml:space="preserve"> and</w:t>
      </w:r>
      <w:proofErr w:type="gramEnd"/>
      <w:r w:rsidR="00037618" w:rsidRPr="003B1198">
        <w:rPr>
          <w:rFonts w:ascii="Arial" w:hAnsi="Arial" w:cs="Arial"/>
          <w:sz w:val="24"/>
          <w:szCs w:val="24"/>
        </w:rPr>
        <w:t xml:space="preserve"> invited the Department’s </w:t>
      </w:r>
      <w:r w:rsidR="00A86707" w:rsidRPr="003B1198">
        <w:rPr>
          <w:rFonts w:ascii="Arial" w:hAnsi="Arial" w:cs="Arial"/>
          <w:sz w:val="24"/>
          <w:szCs w:val="24"/>
        </w:rPr>
        <w:t>submission</w:t>
      </w:r>
      <w:r w:rsidR="00037618" w:rsidRPr="003B1198">
        <w:rPr>
          <w:rFonts w:ascii="Arial" w:hAnsi="Arial" w:cs="Arial"/>
          <w:sz w:val="24"/>
          <w:szCs w:val="24"/>
        </w:rPr>
        <w:t xml:space="preserve"> on them.  The two points were</w:t>
      </w:r>
      <w:r w:rsidR="00862D62" w:rsidRPr="003B1198">
        <w:rPr>
          <w:rFonts w:ascii="Arial" w:hAnsi="Arial" w:cs="Arial"/>
          <w:sz w:val="24"/>
          <w:szCs w:val="24"/>
        </w:rPr>
        <w:t>:</w:t>
      </w:r>
    </w:p>
    <w:p w14:paraId="4D6686F6" w14:textId="77777777" w:rsidR="00355E3E" w:rsidRPr="003B1198" w:rsidRDefault="00355E3E" w:rsidP="00D42D2D">
      <w:pPr>
        <w:tabs>
          <w:tab w:val="left" w:pos="510"/>
          <w:tab w:val="left" w:pos="1077"/>
          <w:tab w:val="left" w:pos="1797"/>
        </w:tabs>
        <w:spacing w:after="0" w:line="240" w:lineRule="auto"/>
        <w:ind w:left="510" w:hanging="510"/>
        <w:jc w:val="both"/>
        <w:rPr>
          <w:rFonts w:ascii="Arial" w:hAnsi="Arial" w:cs="Arial"/>
          <w:sz w:val="24"/>
          <w:szCs w:val="24"/>
        </w:rPr>
      </w:pPr>
    </w:p>
    <w:p w14:paraId="71547949" w14:textId="36E39A02" w:rsidR="00C901EB" w:rsidRDefault="00D42D2D" w:rsidP="00D42D2D">
      <w:pPr>
        <w:tabs>
          <w:tab w:val="left" w:pos="510"/>
          <w:tab w:val="left" w:pos="1077"/>
          <w:tab w:val="left" w:pos="1797"/>
        </w:tabs>
        <w:spacing w:after="0" w:line="240" w:lineRule="auto"/>
        <w:ind w:left="1077" w:hanging="1077"/>
        <w:jc w:val="both"/>
        <w:rPr>
          <w:rFonts w:ascii="Arial" w:eastAsia="Aptos" w:hAnsi="Arial" w:cs="Arial"/>
          <w:sz w:val="24"/>
          <w:szCs w:val="24"/>
        </w:rPr>
      </w:pPr>
      <w:r>
        <w:rPr>
          <w:rFonts w:ascii="Arial" w:eastAsia="Aptos" w:hAnsi="Arial" w:cs="Arial"/>
          <w:sz w:val="24"/>
          <w:szCs w:val="24"/>
        </w:rPr>
        <w:tab/>
        <w:t>a.</w:t>
      </w:r>
      <w:r>
        <w:rPr>
          <w:rFonts w:ascii="Arial" w:eastAsia="Aptos" w:hAnsi="Arial" w:cs="Arial"/>
          <w:sz w:val="24"/>
          <w:szCs w:val="24"/>
        </w:rPr>
        <w:tab/>
      </w:r>
      <w:r w:rsidR="00C901EB" w:rsidRPr="003B1198">
        <w:rPr>
          <w:rFonts w:ascii="Arial" w:eastAsia="Aptos" w:hAnsi="Arial" w:cs="Arial"/>
          <w:sz w:val="24"/>
          <w:szCs w:val="24"/>
        </w:rPr>
        <w:t>Did the Appeal Tribunal err in failing adequately to exercise its inquisitorial jurisdiction by failing to explore why, if, as the Appeal Tribunal say, he was applying for jobs at all material times, why he was at the same time obtaining sick notes from his GP?</w:t>
      </w:r>
      <w:r>
        <w:rPr>
          <w:rFonts w:ascii="Arial" w:eastAsia="Aptos" w:hAnsi="Arial" w:cs="Arial"/>
          <w:sz w:val="24"/>
          <w:szCs w:val="24"/>
        </w:rPr>
        <w:t xml:space="preserve"> </w:t>
      </w:r>
      <w:r w:rsidR="00C901EB" w:rsidRPr="003B1198">
        <w:rPr>
          <w:rFonts w:ascii="Arial" w:eastAsia="Aptos" w:hAnsi="Arial" w:cs="Arial"/>
          <w:sz w:val="24"/>
          <w:szCs w:val="24"/>
        </w:rPr>
        <w:t xml:space="preserve"> Does this apparently unexplored tension lend some credence to the </w:t>
      </w:r>
      <w:r w:rsidR="002C5F0D" w:rsidRPr="003B1198">
        <w:rPr>
          <w:rFonts w:ascii="Arial" w:eastAsia="Aptos" w:hAnsi="Arial" w:cs="Arial"/>
          <w:sz w:val="24"/>
          <w:szCs w:val="24"/>
        </w:rPr>
        <w:t>a</w:t>
      </w:r>
      <w:r w:rsidR="00C901EB" w:rsidRPr="003B1198">
        <w:rPr>
          <w:rFonts w:ascii="Arial" w:eastAsia="Aptos" w:hAnsi="Arial" w:cs="Arial"/>
          <w:sz w:val="24"/>
          <w:szCs w:val="24"/>
        </w:rPr>
        <w:t>ppellant’s submission that his evidence was imperfectly understood and/or recorded?</w:t>
      </w:r>
    </w:p>
    <w:p w14:paraId="42CF238F" w14:textId="77777777" w:rsidR="00D42D2D" w:rsidRPr="003B1198" w:rsidRDefault="00D42D2D" w:rsidP="00D42D2D">
      <w:pPr>
        <w:tabs>
          <w:tab w:val="left" w:pos="510"/>
          <w:tab w:val="left" w:pos="1077"/>
          <w:tab w:val="left" w:pos="1797"/>
        </w:tabs>
        <w:spacing w:after="0" w:line="240" w:lineRule="auto"/>
        <w:ind w:left="1077" w:hanging="1077"/>
        <w:jc w:val="both"/>
        <w:rPr>
          <w:rFonts w:ascii="Arial" w:eastAsia="Aptos" w:hAnsi="Arial" w:cs="Arial"/>
          <w:sz w:val="24"/>
          <w:szCs w:val="24"/>
        </w:rPr>
      </w:pPr>
    </w:p>
    <w:p w14:paraId="50BDD144" w14:textId="5A2A2E37" w:rsidR="00C901EB" w:rsidRPr="003B1198" w:rsidRDefault="00D42D2D" w:rsidP="00D42D2D">
      <w:pPr>
        <w:tabs>
          <w:tab w:val="left" w:pos="510"/>
          <w:tab w:val="left" w:pos="1077"/>
          <w:tab w:val="left" w:pos="1797"/>
        </w:tabs>
        <w:spacing w:after="0" w:line="240" w:lineRule="auto"/>
        <w:ind w:left="1077" w:hanging="1077"/>
        <w:jc w:val="both"/>
        <w:rPr>
          <w:rFonts w:ascii="Arial" w:eastAsia="Aptos" w:hAnsi="Arial" w:cs="Arial"/>
          <w:sz w:val="24"/>
          <w:szCs w:val="24"/>
        </w:rPr>
      </w:pPr>
      <w:r>
        <w:rPr>
          <w:rFonts w:ascii="Arial" w:eastAsia="Aptos" w:hAnsi="Arial" w:cs="Arial"/>
          <w:sz w:val="24"/>
          <w:szCs w:val="24"/>
        </w:rPr>
        <w:tab/>
        <w:t>b.</w:t>
      </w:r>
      <w:r>
        <w:rPr>
          <w:rFonts w:ascii="Arial" w:eastAsia="Aptos" w:hAnsi="Arial" w:cs="Arial"/>
          <w:sz w:val="24"/>
          <w:szCs w:val="24"/>
        </w:rPr>
        <w:tab/>
      </w:r>
      <w:r w:rsidR="00C901EB" w:rsidRPr="003B1198">
        <w:rPr>
          <w:rFonts w:ascii="Arial" w:eastAsia="Aptos" w:hAnsi="Arial" w:cs="Arial"/>
          <w:sz w:val="24"/>
          <w:szCs w:val="24"/>
        </w:rPr>
        <w:t xml:space="preserve">Did the Appeal Tribunal err in failing to address what it was about the </w:t>
      </w:r>
      <w:r w:rsidR="002C5F0D" w:rsidRPr="003B1198">
        <w:rPr>
          <w:rFonts w:ascii="Arial" w:eastAsia="Aptos" w:hAnsi="Arial" w:cs="Arial"/>
          <w:sz w:val="24"/>
          <w:szCs w:val="24"/>
        </w:rPr>
        <w:t>a</w:t>
      </w:r>
      <w:r w:rsidR="00C901EB" w:rsidRPr="003B1198">
        <w:rPr>
          <w:rFonts w:ascii="Arial" w:eastAsia="Aptos" w:hAnsi="Arial" w:cs="Arial"/>
          <w:sz w:val="24"/>
          <w:szCs w:val="24"/>
        </w:rPr>
        <w:t xml:space="preserve">ppellant’s atrial fibrillation that might have led his GP repeatedly to sign him off work? </w:t>
      </w:r>
      <w:r>
        <w:rPr>
          <w:rFonts w:ascii="Arial" w:eastAsia="Aptos" w:hAnsi="Arial" w:cs="Arial"/>
          <w:sz w:val="24"/>
          <w:szCs w:val="24"/>
        </w:rPr>
        <w:t xml:space="preserve"> </w:t>
      </w:r>
      <w:r w:rsidR="00C901EB" w:rsidRPr="003B1198">
        <w:rPr>
          <w:rFonts w:ascii="Arial" w:eastAsia="Aptos" w:hAnsi="Arial" w:cs="Arial"/>
          <w:sz w:val="24"/>
          <w:szCs w:val="24"/>
        </w:rPr>
        <w:t>Might that, for instance, have been relevant to the likelihood of risk under Schedules 8 and 9 of the UC Regulations?</w:t>
      </w:r>
    </w:p>
    <w:p w14:paraId="1D11FF56" w14:textId="77777777" w:rsidR="00862D62" w:rsidRPr="003B1198" w:rsidRDefault="00862D62" w:rsidP="00D42D2D">
      <w:pPr>
        <w:tabs>
          <w:tab w:val="left" w:pos="510"/>
          <w:tab w:val="left" w:pos="1077"/>
          <w:tab w:val="left" w:pos="1797"/>
        </w:tabs>
        <w:spacing w:after="0" w:line="240" w:lineRule="auto"/>
        <w:ind w:left="510" w:hanging="510"/>
        <w:jc w:val="both"/>
        <w:rPr>
          <w:rFonts w:ascii="Arial" w:eastAsia="Aptos" w:hAnsi="Arial" w:cs="Arial"/>
          <w:sz w:val="24"/>
          <w:szCs w:val="24"/>
        </w:rPr>
      </w:pPr>
    </w:p>
    <w:p w14:paraId="567D53B8" w14:textId="2A302F94" w:rsidR="00355E3E" w:rsidRPr="003B1198" w:rsidRDefault="00D42D2D" w:rsidP="00D42D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B77547" w:rsidRPr="003B1198">
        <w:rPr>
          <w:rFonts w:ascii="Arial" w:hAnsi="Arial" w:cs="Arial"/>
          <w:sz w:val="24"/>
          <w:szCs w:val="24"/>
        </w:rPr>
        <w:t xml:space="preserve">At the same time, lest it </w:t>
      </w:r>
      <w:proofErr w:type="gramStart"/>
      <w:r w:rsidR="00B77547" w:rsidRPr="003B1198">
        <w:rPr>
          <w:rFonts w:ascii="Arial" w:hAnsi="Arial" w:cs="Arial"/>
          <w:sz w:val="24"/>
          <w:szCs w:val="24"/>
        </w:rPr>
        <w:t>were</w:t>
      </w:r>
      <w:proofErr w:type="gramEnd"/>
      <w:r w:rsidR="00B77547" w:rsidRPr="003B1198">
        <w:rPr>
          <w:rFonts w:ascii="Arial" w:hAnsi="Arial" w:cs="Arial"/>
          <w:sz w:val="24"/>
          <w:szCs w:val="24"/>
        </w:rPr>
        <w:t xml:space="preserve"> to prove necessary to attempt to </w:t>
      </w:r>
      <w:r w:rsidR="00A86707" w:rsidRPr="003B1198">
        <w:rPr>
          <w:rFonts w:ascii="Arial" w:hAnsi="Arial" w:cs="Arial"/>
          <w:sz w:val="24"/>
          <w:szCs w:val="24"/>
        </w:rPr>
        <w:t>resolve</w:t>
      </w:r>
      <w:r w:rsidR="00B77547" w:rsidRPr="003B1198">
        <w:rPr>
          <w:rFonts w:ascii="Arial" w:hAnsi="Arial" w:cs="Arial"/>
          <w:sz w:val="24"/>
          <w:szCs w:val="24"/>
        </w:rPr>
        <w:t xml:space="preserve"> the conflict a</w:t>
      </w:r>
      <w:r w:rsidR="00A827C3" w:rsidRPr="003B1198">
        <w:rPr>
          <w:rFonts w:ascii="Arial" w:hAnsi="Arial" w:cs="Arial"/>
          <w:sz w:val="24"/>
          <w:szCs w:val="24"/>
        </w:rPr>
        <w:t>bout</w:t>
      </w:r>
      <w:r w:rsidR="00B77547" w:rsidRPr="003B1198">
        <w:rPr>
          <w:rFonts w:ascii="Arial" w:hAnsi="Arial" w:cs="Arial"/>
          <w:sz w:val="24"/>
          <w:szCs w:val="24"/>
        </w:rPr>
        <w:t xml:space="preserve"> what </w:t>
      </w:r>
      <w:r w:rsidR="00EE7DEB" w:rsidRPr="003B1198">
        <w:rPr>
          <w:rFonts w:ascii="Arial" w:hAnsi="Arial" w:cs="Arial"/>
          <w:sz w:val="24"/>
          <w:szCs w:val="24"/>
        </w:rPr>
        <w:t>evidence</w:t>
      </w:r>
      <w:r w:rsidR="00B77547" w:rsidRPr="003B1198">
        <w:rPr>
          <w:rFonts w:ascii="Arial" w:hAnsi="Arial" w:cs="Arial"/>
          <w:sz w:val="24"/>
          <w:szCs w:val="24"/>
        </w:rPr>
        <w:t xml:space="preserve"> the </w:t>
      </w:r>
      <w:r w:rsidR="002C5F0D" w:rsidRPr="003B1198">
        <w:rPr>
          <w:rFonts w:ascii="Arial" w:hAnsi="Arial" w:cs="Arial"/>
          <w:sz w:val="24"/>
          <w:szCs w:val="24"/>
        </w:rPr>
        <w:t>a</w:t>
      </w:r>
      <w:r w:rsidR="00EE7DEB" w:rsidRPr="003B1198">
        <w:rPr>
          <w:rFonts w:ascii="Arial" w:hAnsi="Arial" w:cs="Arial"/>
          <w:sz w:val="24"/>
          <w:szCs w:val="24"/>
        </w:rPr>
        <w:t>ppellant</w:t>
      </w:r>
      <w:r w:rsidR="00B77547" w:rsidRPr="003B1198">
        <w:rPr>
          <w:rFonts w:ascii="Arial" w:hAnsi="Arial" w:cs="Arial"/>
          <w:sz w:val="24"/>
          <w:szCs w:val="24"/>
        </w:rPr>
        <w:t xml:space="preserve"> </w:t>
      </w:r>
      <w:r w:rsidR="00EE7DEB" w:rsidRPr="003B1198">
        <w:rPr>
          <w:rFonts w:ascii="Arial" w:hAnsi="Arial" w:cs="Arial"/>
          <w:sz w:val="24"/>
          <w:szCs w:val="24"/>
        </w:rPr>
        <w:t>actually</w:t>
      </w:r>
      <w:r w:rsidR="00B77547" w:rsidRPr="003B1198">
        <w:rPr>
          <w:rFonts w:ascii="Arial" w:hAnsi="Arial" w:cs="Arial"/>
          <w:sz w:val="24"/>
          <w:szCs w:val="24"/>
        </w:rPr>
        <w:t xml:space="preserve"> did</w:t>
      </w:r>
      <w:r w:rsidR="00F96FD1" w:rsidRPr="003B1198">
        <w:rPr>
          <w:rFonts w:ascii="Arial" w:hAnsi="Arial" w:cs="Arial"/>
          <w:sz w:val="24"/>
          <w:szCs w:val="24"/>
        </w:rPr>
        <w:t xml:space="preserve"> give</w:t>
      </w:r>
      <w:r w:rsidR="00F0373C" w:rsidRPr="003B1198">
        <w:rPr>
          <w:rFonts w:ascii="Arial" w:hAnsi="Arial" w:cs="Arial"/>
          <w:sz w:val="24"/>
          <w:szCs w:val="24"/>
        </w:rPr>
        <w:t xml:space="preserve">, I </w:t>
      </w:r>
      <w:r w:rsidR="00EE7DEB" w:rsidRPr="003B1198">
        <w:rPr>
          <w:rFonts w:ascii="Arial" w:hAnsi="Arial" w:cs="Arial"/>
          <w:sz w:val="24"/>
          <w:szCs w:val="24"/>
        </w:rPr>
        <w:t>directed</w:t>
      </w:r>
      <w:r w:rsidR="00F0373C" w:rsidRPr="003B1198">
        <w:rPr>
          <w:rFonts w:ascii="Arial" w:hAnsi="Arial" w:cs="Arial"/>
          <w:sz w:val="24"/>
          <w:szCs w:val="24"/>
        </w:rPr>
        <w:t xml:space="preserve"> </w:t>
      </w:r>
      <w:r w:rsidR="00A041FB" w:rsidRPr="003B1198">
        <w:rPr>
          <w:rFonts w:ascii="Arial" w:hAnsi="Arial" w:cs="Arial"/>
          <w:sz w:val="24"/>
          <w:szCs w:val="24"/>
        </w:rPr>
        <w:t xml:space="preserve">the </w:t>
      </w:r>
      <w:r w:rsidR="002C5F0D" w:rsidRPr="003B1198">
        <w:rPr>
          <w:rFonts w:ascii="Arial" w:hAnsi="Arial" w:cs="Arial"/>
          <w:sz w:val="24"/>
          <w:szCs w:val="24"/>
        </w:rPr>
        <w:lastRenderedPageBreak/>
        <w:t>a</w:t>
      </w:r>
      <w:r w:rsidR="00A041FB" w:rsidRPr="003B1198">
        <w:rPr>
          <w:rFonts w:ascii="Arial" w:hAnsi="Arial" w:cs="Arial"/>
          <w:sz w:val="24"/>
          <w:szCs w:val="24"/>
        </w:rPr>
        <w:t>p</w:t>
      </w:r>
      <w:r w:rsidR="00EE7DEB" w:rsidRPr="003B1198">
        <w:rPr>
          <w:rFonts w:ascii="Arial" w:hAnsi="Arial" w:cs="Arial"/>
          <w:sz w:val="24"/>
          <w:szCs w:val="24"/>
        </w:rPr>
        <w:t>p</w:t>
      </w:r>
      <w:r w:rsidR="00A041FB" w:rsidRPr="003B1198">
        <w:rPr>
          <w:rFonts w:ascii="Arial" w:hAnsi="Arial" w:cs="Arial"/>
          <w:sz w:val="24"/>
          <w:szCs w:val="24"/>
        </w:rPr>
        <w:t>e</w:t>
      </w:r>
      <w:r w:rsidR="00EE7DEB" w:rsidRPr="003B1198">
        <w:rPr>
          <w:rFonts w:ascii="Arial" w:hAnsi="Arial" w:cs="Arial"/>
          <w:sz w:val="24"/>
          <w:szCs w:val="24"/>
        </w:rPr>
        <w:t>ll</w:t>
      </w:r>
      <w:r w:rsidR="00A041FB" w:rsidRPr="003B1198">
        <w:rPr>
          <w:rFonts w:ascii="Arial" w:hAnsi="Arial" w:cs="Arial"/>
          <w:sz w:val="24"/>
          <w:szCs w:val="24"/>
        </w:rPr>
        <w:t xml:space="preserve">ant </w:t>
      </w:r>
      <w:r w:rsidR="00A827C3" w:rsidRPr="003B1198">
        <w:rPr>
          <w:rFonts w:ascii="Arial" w:hAnsi="Arial" w:cs="Arial"/>
          <w:sz w:val="24"/>
          <w:szCs w:val="24"/>
        </w:rPr>
        <w:t xml:space="preserve">to </w:t>
      </w:r>
      <w:r w:rsidR="00A041FB" w:rsidRPr="003B1198">
        <w:rPr>
          <w:rFonts w:ascii="Arial" w:hAnsi="Arial" w:cs="Arial"/>
          <w:sz w:val="24"/>
          <w:szCs w:val="24"/>
        </w:rPr>
        <w:t xml:space="preserve">provide a witness statement </w:t>
      </w:r>
      <w:r w:rsidR="00EE7DEB" w:rsidRPr="003B1198">
        <w:rPr>
          <w:rFonts w:ascii="Arial" w:hAnsi="Arial" w:cs="Arial"/>
          <w:sz w:val="24"/>
          <w:szCs w:val="24"/>
        </w:rPr>
        <w:t>by Ms</w:t>
      </w:r>
      <w:r w:rsidR="00A041FB" w:rsidRPr="003B1198">
        <w:rPr>
          <w:rFonts w:ascii="Arial" w:hAnsi="Arial" w:cs="Arial"/>
          <w:sz w:val="24"/>
          <w:szCs w:val="24"/>
        </w:rPr>
        <w:t xml:space="preserve"> R.  This was duly done, </w:t>
      </w:r>
      <w:r w:rsidR="000B6C41" w:rsidRPr="003B1198">
        <w:rPr>
          <w:rFonts w:ascii="Arial" w:hAnsi="Arial" w:cs="Arial"/>
          <w:sz w:val="24"/>
          <w:szCs w:val="24"/>
        </w:rPr>
        <w:t xml:space="preserve">not as a professional lawyer would do </w:t>
      </w:r>
      <w:r w:rsidR="00355E3E" w:rsidRPr="003B1198">
        <w:rPr>
          <w:rFonts w:ascii="Arial" w:hAnsi="Arial" w:cs="Arial"/>
          <w:sz w:val="24"/>
          <w:szCs w:val="24"/>
        </w:rPr>
        <w:t>it</w:t>
      </w:r>
      <w:r w:rsidR="000B6C41" w:rsidRPr="003B1198">
        <w:rPr>
          <w:rFonts w:ascii="Arial" w:hAnsi="Arial" w:cs="Arial"/>
          <w:sz w:val="24"/>
          <w:szCs w:val="24"/>
        </w:rPr>
        <w:t>, bu</w:t>
      </w:r>
      <w:r w:rsidR="00862D62" w:rsidRPr="003B1198">
        <w:rPr>
          <w:rFonts w:ascii="Arial" w:hAnsi="Arial" w:cs="Arial"/>
          <w:sz w:val="24"/>
          <w:szCs w:val="24"/>
        </w:rPr>
        <w:t>t</w:t>
      </w:r>
      <w:r w:rsidR="000B6C41" w:rsidRPr="003B1198">
        <w:rPr>
          <w:rFonts w:ascii="Arial" w:hAnsi="Arial" w:cs="Arial"/>
          <w:sz w:val="24"/>
          <w:szCs w:val="24"/>
        </w:rPr>
        <w:t xml:space="preserve"> </w:t>
      </w:r>
      <w:r w:rsidR="00EE7DEB" w:rsidRPr="003B1198">
        <w:rPr>
          <w:rFonts w:ascii="Arial" w:hAnsi="Arial" w:cs="Arial"/>
          <w:sz w:val="24"/>
          <w:szCs w:val="24"/>
        </w:rPr>
        <w:t>nonetheless</w:t>
      </w:r>
      <w:r w:rsidR="000B6C41" w:rsidRPr="003B1198">
        <w:rPr>
          <w:rFonts w:ascii="Arial" w:hAnsi="Arial" w:cs="Arial"/>
          <w:sz w:val="24"/>
          <w:szCs w:val="24"/>
        </w:rPr>
        <w:t xml:space="preserve"> </w:t>
      </w:r>
      <w:r w:rsidR="00EE7DEB" w:rsidRPr="003B1198">
        <w:rPr>
          <w:rFonts w:ascii="Arial" w:hAnsi="Arial" w:cs="Arial"/>
          <w:sz w:val="24"/>
          <w:szCs w:val="24"/>
        </w:rPr>
        <w:t>carefully</w:t>
      </w:r>
      <w:r w:rsidR="000B6C41" w:rsidRPr="003B1198">
        <w:rPr>
          <w:rFonts w:ascii="Arial" w:hAnsi="Arial" w:cs="Arial"/>
          <w:sz w:val="24"/>
          <w:szCs w:val="24"/>
        </w:rPr>
        <w:t xml:space="preserve"> and conscientiously</w:t>
      </w:r>
      <w:r w:rsidR="00862D62" w:rsidRPr="003B1198">
        <w:rPr>
          <w:rFonts w:ascii="Arial" w:hAnsi="Arial" w:cs="Arial"/>
          <w:sz w:val="24"/>
          <w:szCs w:val="24"/>
        </w:rPr>
        <w:t xml:space="preserve"> and so </w:t>
      </w:r>
      <w:proofErr w:type="gramStart"/>
      <w:r w:rsidR="00862D62" w:rsidRPr="003B1198">
        <w:rPr>
          <w:rFonts w:ascii="Arial" w:hAnsi="Arial" w:cs="Arial"/>
          <w:sz w:val="24"/>
          <w:szCs w:val="24"/>
        </w:rPr>
        <w:t>far</w:t>
      </w:r>
      <w:proofErr w:type="gramEnd"/>
      <w:r w:rsidR="00862D62" w:rsidRPr="003B1198">
        <w:rPr>
          <w:rFonts w:ascii="Arial" w:hAnsi="Arial" w:cs="Arial"/>
          <w:sz w:val="24"/>
          <w:szCs w:val="24"/>
        </w:rPr>
        <w:t xml:space="preserve"> as necessary I waive any </w:t>
      </w:r>
      <w:r w:rsidR="002B061D" w:rsidRPr="003B1198">
        <w:rPr>
          <w:rFonts w:ascii="Arial" w:hAnsi="Arial" w:cs="Arial"/>
          <w:sz w:val="24"/>
          <w:szCs w:val="24"/>
        </w:rPr>
        <w:t>technical failure to comply with that Direction.</w:t>
      </w:r>
      <w:r w:rsidR="000B6C41" w:rsidRPr="003B1198">
        <w:rPr>
          <w:rFonts w:ascii="Arial" w:hAnsi="Arial" w:cs="Arial"/>
          <w:sz w:val="24"/>
          <w:szCs w:val="24"/>
        </w:rPr>
        <w:t xml:space="preserve">  However</w:t>
      </w:r>
      <w:r w:rsidR="00B035A2" w:rsidRPr="003B1198">
        <w:rPr>
          <w:rFonts w:ascii="Arial" w:hAnsi="Arial" w:cs="Arial"/>
          <w:sz w:val="24"/>
          <w:szCs w:val="24"/>
        </w:rPr>
        <w:t xml:space="preserve">, as will be seen, I do not find it necessary to </w:t>
      </w:r>
      <w:r w:rsidR="00EE7DEB" w:rsidRPr="003B1198">
        <w:rPr>
          <w:rFonts w:ascii="Arial" w:hAnsi="Arial" w:cs="Arial"/>
          <w:sz w:val="24"/>
          <w:szCs w:val="24"/>
        </w:rPr>
        <w:t>resolve</w:t>
      </w:r>
      <w:r w:rsidR="00B035A2" w:rsidRPr="003B1198">
        <w:rPr>
          <w:rFonts w:ascii="Arial" w:hAnsi="Arial" w:cs="Arial"/>
          <w:sz w:val="24"/>
          <w:szCs w:val="24"/>
        </w:rPr>
        <w:t xml:space="preserve"> the conflict of evidence as to what was said</w:t>
      </w:r>
      <w:r w:rsidR="006059FB" w:rsidRPr="003B1198">
        <w:rPr>
          <w:rFonts w:ascii="Arial" w:hAnsi="Arial" w:cs="Arial"/>
          <w:sz w:val="24"/>
          <w:szCs w:val="24"/>
        </w:rPr>
        <w:t xml:space="preserve"> and have placed </w:t>
      </w:r>
      <w:r w:rsidR="003A7872" w:rsidRPr="003B1198">
        <w:rPr>
          <w:rFonts w:ascii="Arial" w:hAnsi="Arial" w:cs="Arial"/>
          <w:sz w:val="24"/>
          <w:szCs w:val="24"/>
        </w:rPr>
        <w:t>no</w:t>
      </w:r>
      <w:r w:rsidR="006059FB" w:rsidRPr="003B1198">
        <w:rPr>
          <w:rFonts w:ascii="Arial" w:hAnsi="Arial" w:cs="Arial"/>
          <w:sz w:val="24"/>
          <w:szCs w:val="24"/>
        </w:rPr>
        <w:t xml:space="preserve"> reliance on that witness statement in reaching this decision.</w:t>
      </w:r>
    </w:p>
    <w:p w14:paraId="21018CA4" w14:textId="77777777" w:rsidR="00355E3E" w:rsidRPr="003B1198" w:rsidRDefault="00355E3E" w:rsidP="00D42D2D">
      <w:pPr>
        <w:tabs>
          <w:tab w:val="left" w:pos="510"/>
          <w:tab w:val="left" w:pos="1077"/>
          <w:tab w:val="left" w:pos="1797"/>
        </w:tabs>
        <w:spacing w:after="0" w:line="240" w:lineRule="auto"/>
        <w:ind w:left="510" w:hanging="510"/>
        <w:jc w:val="both"/>
        <w:rPr>
          <w:rFonts w:ascii="Arial" w:hAnsi="Arial" w:cs="Arial"/>
          <w:sz w:val="24"/>
          <w:szCs w:val="24"/>
        </w:rPr>
      </w:pPr>
    </w:p>
    <w:p w14:paraId="537D3E67" w14:textId="782DA0DE" w:rsidR="00A30BDF" w:rsidRDefault="00D42D2D" w:rsidP="00D42D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11.</w:t>
      </w:r>
      <w:r>
        <w:rPr>
          <w:rFonts w:ascii="Arial" w:hAnsi="Arial" w:cs="Arial"/>
          <w:sz w:val="24"/>
          <w:szCs w:val="24"/>
        </w:rPr>
        <w:tab/>
      </w:r>
      <w:r w:rsidR="004D5590" w:rsidRPr="003B1198">
        <w:rPr>
          <w:rFonts w:ascii="Arial" w:hAnsi="Arial" w:cs="Arial"/>
          <w:sz w:val="24"/>
          <w:szCs w:val="24"/>
        </w:rPr>
        <w:t xml:space="preserve">As to the </w:t>
      </w:r>
      <w:r w:rsidR="009E798B" w:rsidRPr="003B1198">
        <w:rPr>
          <w:rFonts w:ascii="Arial" w:hAnsi="Arial" w:cs="Arial"/>
          <w:sz w:val="24"/>
          <w:szCs w:val="24"/>
        </w:rPr>
        <w:t xml:space="preserve">first of the </w:t>
      </w:r>
      <w:r w:rsidR="004D5590" w:rsidRPr="003B1198">
        <w:rPr>
          <w:rFonts w:ascii="Arial" w:hAnsi="Arial" w:cs="Arial"/>
          <w:sz w:val="24"/>
          <w:szCs w:val="24"/>
        </w:rPr>
        <w:t xml:space="preserve">two matters raised by the </w:t>
      </w:r>
      <w:r w:rsidR="003A7872" w:rsidRPr="003B1198">
        <w:rPr>
          <w:rFonts w:ascii="Arial" w:hAnsi="Arial" w:cs="Arial"/>
          <w:sz w:val="24"/>
          <w:szCs w:val="24"/>
        </w:rPr>
        <w:t>Directions</w:t>
      </w:r>
      <w:r w:rsidR="004D5590" w:rsidRPr="003B1198">
        <w:rPr>
          <w:rFonts w:ascii="Arial" w:hAnsi="Arial" w:cs="Arial"/>
          <w:sz w:val="24"/>
          <w:szCs w:val="24"/>
        </w:rPr>
        <w:t xml:space="preserve"> of 30 December</w:t>
      </w:r>
      <w:r w:rsidR="00DF3A5E" w:rsidRPr="003B1198">
        <w:rPr>
          <w:rFonts w:ascii="Arial" w:hAnsi="Arial" w:cs="Arial"/>
          <w:sz w:val="24"/>
          <w:szCs w:val="24"/>
        </w:rPr>
        <w:t>,</w:t>
      </w:r>
      <w:r w:rsidR="009E798B" w:rsidRPr="003B1198">
        <w:rPr>
          <w:rFonts w:ascii="Arial" w:hAnsi="Arial" w:cs="Arial"/>
          <w:sz w:val="24"/>
          <w:szCs w:val="24"/>
        </w:rPr>
        <w:t xml:space="preserve"> Ms Toner </w:t>
      </w:r>
      <w:r w:rsidR="009E222E" w:rsidRPr="003B1198">
        <w:rPr>
          <w:rFonts w:ascii="Arial" w:hAnsi="Arial" w:cs="Arial"/>
          <w:sz w:val="24"/>
          <w:szCs w:val="24"/>
        </w:rPr>
        <w:t>submits that</w:t>
      </w:r>
      <w:r w:rsidR="00A30BDF" w:rsidRPr="003B1198">
        <w:rPr>
          <w:rFonts w:ascii="Arial" w:hAnsi="Arial" w:cs="Arial"/>
          <w:sz w:val="24"/>
          <w:szCs w:val="24"/>
        </w:rPr>
        <w:t>:</w:t>
      </w:r>
    </w:p>
    <w:p w14:paraId="41970D15" w14:textId="77777777" w:rsidR="00D42D2D" w:rsidRPr="003B1198" w:rsidRDefault="00D42D2D" w:rsidP="006A5C2C">
      <w:pPr>
        <w:tabs>
          <w:tab w:val="left" w:pos="510"/>
          <w:tab w:val="left" w:pos="1077"/>
          <w:tab w:val="left" w:pos="1797"/>
        </w:tabs>
        <w:spacing w:after="0" w:line="240" w:lineRule="auto"/>
        <w:rPr>
          <w:rFonts w:ascii="Arial" w:hAnsi="Arial" w:cs="Arial"/>
          <w:sz w:val="24"/>
          <w:szCs w:val="24"/>
        </w:rPr>
      </w:pPr>
    </w:p>
    <w:p w14:paraId="06CFD28F" w14:textId="77777777" w:rsidR="00A30BDF" w:rsidRPr="003B1198" w:rsidRDefault="009E222E" w:rsidP="00A45574">
      <w:pPr>
        <w:tabs>
          <w:tab w:val="left" w:pos="510"/>
          <w:tab w:val="left" w:pos="1077"/>
          <w:tab w:val="left" w:pos="1797"/>
        </w:tabs>
        <w:spacing w:after="0" w:line="240" w:lineRule="auto"/>
        <w:ind w:left="1077" w:right="1077"/>
        <w:jc w:val="both"/>
        <w:rPr>
          <w:rFonts w:ascii="Arial" w:hAnsi="Arial" w:cs="Arial"/>
          <w:sz w:val="24"/>
          <w:szCs w:val="24"/>
        </w:rPr>
      </w:pPr>
      <w:r w:rsidRPr="003B1198">
        <w:rPr>
          <w:rFonts w:ascii="Arial" w:hAnsi="Arial" w:cs="Arial"/>
          <w:sz w:val="24"/>
          <w:szCs w:val="24"/>
        </w:rPr>
        <w:t>“</w:t>
      </w:r>
      <w:proofErr w:type="gramStart"/>
      <w:r w:rsidRPr="003B1198">
        <w:rPr>
          <w:rFonts w:ascii="Arial" w:hAnsi="Arial" w:cs="Arial"/>
          <w:sz w:val="24"/>
          <w:szCs w:val="24"/>
        </w:rPr>
        <w:t>it</w:t>
      </w:r>
      <w:proofErr w:type="gramEnd"/>
      <w:r w:rsidRPr="003B1198">
        <w:rPr>
          <w:rFonts w:ascii="Arial" w:hAnsi="Arial" w:cs="Arial"/>
          <w:sz w:val="24"/>
          <w:szCs w:val="24"/>
        </w:rPr>
        <w:t xml:space="preserve"> could be argued that the Tribunal had </w:t>
      </w:r>
      <w:r w:rsidR="003A7872" w:rsidRPr="003B1198">
        <w:rPr>
          <w:rFonts w:ascii="Arial" w:hAnsi="Arial" w:cs="Arial"/>
          <w:sz w:val="24"/>
          <w:szCs w:val="24"/>
        </w:rPr>
        <w:t>posed</w:t>
      </w:r>
      <w:r w:rsidRPr="003B1198">
        <w:rPr>
          <w:rFonts w:ascii="Arial" w:hAnsi="Arial" w:cs="Arial"/>
          <w:sz w:val="24"/>
          <w:szCs w:val="24"/>
        </w:rPr>
        <w:t xml:space="preserve"> questions </w:t>
      </w:r>
      <w:r w:rsidR="000F33C1" w:rsidRPr="003B1198">
        <w:rPr>
          <w:rFonts w:ascii="Arial" w:hAnsi="Arial" w:cs="Arial"/>
          <w:sz w:val="24"/>
          <w:szCs w:val="24"/>
        </w:rPr>
        <w:t>in relation to the mat</w:t>
      </w:r>
      <w:r w:rsidR="00F96FD1" w:rsidRPr="003B1198">
        <w:rPr>
          <w:rFonts w:ascii="Arial" w:hAnsi="Arial" w:cs="Arial"/>
          <w:sz w:val="24"/>
          <w:szCs w:val="24"/>
        </w:rPr>
        <w:t>t</w:t>
      </w:r>
      <w:r w:rsidR="000F33C1" w:rsidRPr="003B1198">
        <w:rPr>
          <w:rFonts w:ascii="Arial" w:hAnsi="Arial" w:cs="Arial"/>
          <w:sz w:val="24"/>
          <w:szCs w:val="24"/>
        </w:rPr>
        <w:t xml:space="preserve">er of the </w:t>
      </w:r>
      <w:r w:rsidR="00F96FD1" w:rsidRPr="003B1198">
        <w:rPr>
          <w:rFonts w:ascii="Arial" w:hAnsi="Arial" w:cs="Arial"/>
          <w:sz w:val="24"/>
          <w:szCs w:val="24"/>
        </w:rPr>
        <w:t>a</w:t>
      </w:r>
      <w:r w:rsidR="003A7872" w:rsidRPr="003B1198">
        <w:rPr>
          <w:rFonts w:ascii="Arial" w:hAnsi="Arial" w:cs="Arial"/>
          <w:sz w:val="24"/>
          <w:szCs w:val="24"/>
        </w:rPr>
        <w:t>ppellant</w:t>
      </w:r>
      <w:r w:rsidR="000F33C1" w:rsidRPr="003B1198">
        <w:rPr>
          <w:rFonts w:ascii="Arial" w:hAnsi="Arial" w:cs="Arial"/>
          <w:sz w:val="24"/>
          <w:szCs w:val="24"/>
        </w:rPr>
        <w:t xml:space="preserve"> </w:t>
      </w:r>
      <w:r w:rsidR="00D46B7E" w:rsidRPr="003B1198">
        <w:rPr>
          <w:rFonts w:ascii="Arial" w:hAnsi="Arial" w:cs="Arial"/>
          <w:sz w:val="24"/>
          <w:szCs w:val="24"/>
        </w:rPr>
        <w:t>looking</w:t>
      </w:r>
      <w:r w:rsidR="000F33C1" w:rsidRPr="003B1198">
        <w:rPr>
          <w:rFonts w:ascii="Arial" w:hAnsi="Arial" w:cs="Arial"/>
          <w:sz w:val="24"/>
          <w:szCs w:val="24"/>
        </w:rPr>
        <w:t xml:space="preserve"> for </w:t>
      </w:r>
      <w:r w:rsidR="007330D8" w:rsidRPr="003B1198">
        <w:rPr>
          <w:rFonts w:ascii="Arial" w:hAnsi="Arial" w:cs="Arial"/>
          <w:sz w:val="24"/>
          <w:szCs w:val="24"/>
        </w:rPr>
        <w:t>work</w:t>
      </w:r>
      <w:r w:rsidR="000F33C1" w:rsidRPr="003B1198">
        <w:rPr>
          <w:rFonts w:ascii="Arial" w:hAnsi="Arial" w:cs="Arial"/>
          <w:sz w:val="24"/>
          <w:szCs w:val="24"/>
        </w:rPr>
        <w:t xml:space="preserve"> </w:t>
      </w:r>
      <w:r w:rsidR="008A7802" w:rsidRPr="003B1198">
        <w:rPr>
          <w:rFonts w:ascii="Arial" w:hAnsi="Arial" w:cs="Arial"/>
          <w:sz w:val="24"/>
          <w:szCs w:val="24"/>
        </w:rPr>
        <w:t>a</w:t>
      </w:r>
      <w:r w:rsidR="000F33C1" w:rsidRPr="003B1198">
        <w:rPr>
          <w:rFonts w:ascii="Arial" w:hAnsi="Arial" w:cs="Arial"/>
          <w:sz w:val="24"/>
          <w:szCs w:val="24"/>
        </w:rPr>
        <w:t xml:space="preserve">nd applying for jobs and explored </w:t>
      </w:r>
      <w:r w:rsidR="006129C3" w:rsidRPr="003B1198">
        <w:rPr>
          <w:rFonts w:ascii="Arial" w:hAnsi="Arial" w:cs="Arial"/>
          <w:sz w:val="24"/>
          <w:szCs w:val="24"/>
        </w:rPr>
        <w:t>how this</w:t>
      </w:r>
      <w:r w:rsidR="000F33C1" w:rsidRPr="003B1198">
        <w:rPr>
          <w:rFonts w:ascii="Arial" w:hAnsi="Arial" w:cs="Arial"/>
          <w:sz w:val="24"/>
          <w:szCs w:val="24"/>
        </w:rPr>
        <w:t xml:space="preserve"> correlated with the sick </w:t>
      </w:r>
      <w:r w:rsidR="006129C3" w:rsidRPr="003B1198">
        <w:rPr>
          <w:rFonts w:ascii="Arial" w:hAnsi="Arial" w:cs="Arial"/>
          <w:sz w:val="24"/>
          <w:szCs w:val="24"/>
        </w:rPr>
        <w:t xml:space="preserve">notes </w:t>
      </w:r>
      <w:r w:rsidR="000F33C1" w:rsidRPr="003B1198">
        <w:rPr>
          <w:rFonts w:ascii="Arial" w:hAnsi="Arial" w:cs="Arial"/>
          <w:sz w:val="24"/>
          <w:szCs w:val="24"/>
        </w:rPr>
        <w:t>from his GP</w:t>
      </w:r>
      <w:r w:rsidR="000A780B" w:rsidRPr="003B1198">
        <w:rPr>
          <w:rFonts w:ascii="Arial" w:hAnsi="Arial" w:cs="Arial"/>
          <w:sz w:val="24"/>
          <w:szCs w:val="24"/>
        </w:rPr>
        <w:t xml:space="preserve">, hence why </w:t>
      </w:r>
      <w:r w:rsidR="006129C3" w:rsidRPr="003B1198">
        <w:rPr>
          <w:rFonts w:ascii="Arial" w:hAnsi="Arial" w:cs="Arial"/>
          <w:sz w:val="24"/>
          <w:szCs w:val="24"/>
        </w:rPr>
        <w:t>statements</w:t>
      </w:r>
      <w:r w:rsidR="000A780B" w:rsidRPr="003B1198">
        <w:rPr>
          <w:rFonts w:ascii="Arial" w:hAnsi="Arial" w:cs="Arial"/>
          <w:sz w:val="24"/>
          <w:szCs w:val="24"/>
        </w:rPr>
        <w:t xml:space="preserve"> were recorded in the </w:t>
      </w:r>
      <w:r w:rsidR="006129C3" w:rsidRPr="003B1198">
        <w:rPr>
          <w:rFonts w:ascii="Arial" w:hAnsi="Arial" w:cs="Arial"/>
          <w:sz w:val="24"/>
          <w:szCs w:val="24"/>
        </w:rPr>
        <w:t>reasons</w:t>
      </w:r>
      <w:r w:rsidR="000A780B" w:rsidRPr="003B1198">
        <w:rPr>
          <w:rFonts w:ascii="Arial" w:hAnsi="Arial" w:cs="Arial"/>
          <w:sz w:val="24"/>
          <w:szCs w:val="24"/>
        </w:rPr>
        <w:t xml:space="preserve"> for decision regarding </w:t>
      </w:r>
      <w:r w:rsidR="006129C3" w:rsidRPr="003B1198">
        <w:rPr>
          <w:rFonts w:ascii="Arial" w:hAnsi="Arial" w:cs="Arial"/>
          <w:sz w:val="24"/>
          <w:szCs w:val="24"/>
        </w:rPr>
        <w:t>the</w:t>
      </w:r>
      <w:r w:rsidR="000A780B" w:rsidRPr="003B1198">
        <w:rPr>
          <w:rFonts w:ascii="Arial" w:hAnsi="Arial" w:cs="Arial"/>
          <w:sz w:val="24"/>
          <w:szCs w:val="24"/>
        </w:rPr>
        <w:t xml:space="preserve"> </w:t>
      </w:r>
      <w:r w:rsidR="00D46B7E" w:rsidRPr="003B1198">
        <w:rPr>
          <w:rFonts w:ascii="Arial" w:hAnsi="Arial" w:cs="Arial"/>
          <w:sz w:val="24"/>
          <w:szCs w:val="24"/>
        </w:rPr>
        <w:t>lack</w:t>
      </w:r>
      <w:r w:rsidR="000A780B" w:rsidRPr="003B1198">
        <w:rPr>
          <w:rFonts w:ascii="Arial" w:hAnsi="Arial" w:cs="Arial"/>
          <w:sz w:val="24"/>
          <w:szCs w:val="24"/>
        </w:rPr>
        <w:t xml:space="preserve"> of </w:t>
      </w:r>
      <w:r w:rsidR="00567D58" w:rsidRPr="003B1198">
        <w:rPr>
          <w:rFonts w:ascii="Arial" w:hAnsi="Arial" w:cs="Arial"/>
          <w:sz w:val="24"/>
          <w:szCs w:val="24"/>
        </w:rPr>
        <w:t>limitations</w:t>
      </w:r>
      <w:r w:rsidR="000A780B" w:rsidRPr="003B1198">
        <w:rPr>
          <w:rFonts w:ascii="Arial" w:hAnsi="Arial" w:cs="Arial"/>
          <w:sz w:val="24"/>
          <w:szCs w:val="24"/>
        </w:rPr>
        <w:t xml:space="preserve"> which would affect his capability to work.”</w:t>
      </w:r>
    </w:p>
    <w:p w14:paraId="6DCD62F5" w14:textId="77777777" w:rsidR="004316BC" w:rsidRPr="003B1198" w:rsidRDefault="004316BC" w:rsidP="006A5C2C">
      <w:pPr>
        <w:tabs>
          <w:tab w:val="left" w:pos="510"/>
          <w:tab w:val="left" w:pos="1077"/>
          <w:tab w:val="left" w:pos="1797"/>
        </w:tabs>
        <w:spacing w:after="0" w:line="240" w:lineRule="auto"/>
        <w:rPr>
          <w:rFonts w:ascii="Arial" w:hAnsi="Arial" w:cs="Arial"/>
          <w:sz w:val="24"/>
          <w:szCs w:val="24"/>
        </w:rPr>
      </w:pPr>
    </w:p>
    <w:p w14:paraId="7B5A34E1" w14:textId="53F37B20" w:rsidR="00A30BDF" w:rsidRPr="003B1198" w:rsidRDefault="00A45574" w:rsidP="006A5C2C">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12.</w:t>
      </w:r>
      <w:r>
        <w:rPr>
          <w:rFonts w:ascii="Arial" w:hAnsi="Arial" w:cs="Arial"/>
          <w:sz w:val="24"/>
          <w:szCs w:val="24"/>
        </w:rPr>
        <w:tab/>
      </w:r>
      <w:r w:rsidR="00180E1E" w:rsidRPr="003B1198">
        <w:rPr>
          <w:rFonts w:ascii="Arial" w:hAnsi="Arial" w:cs="Arial"/>
          <w:sz w:val="24"/>
          <w:szCs w:val="24"/>
        </w:rPr>
        <w:t>Further</w:t>
      </w:r>
      <w:r w:rsidR="00A30BDF" w:rsidRPr="003B1198">
        <w:rPr>
          <w:rFonts w:ascii="Arial" w:hAnsi="Arial" w:cs="Arial"/>
          <w:sz w:val="24"/>
          <w:szCs w:val="24"/>
        </w:rPr>
        <w:t>:</w:t>
      </w:r>
    </w:p>
    <w:p w14:paraId="4EABA0E3" w14:textId="77777777" w:rsidR="004316BC" w:rsidRPr="003B1198" w:rsidRDefault="004316BC" w:rsidP="006A5C2C">
      <w:pPr>
        <w:tabs>
          <w:tab w:val="left" w:pos="510"/>
          <w:tab w:val="left" w:pos="1077"/>
          <w:tab w:val="left" w:pos="1797"/>
        </w:tabs>
        <w:spacing w:after="0" w:line="240" w:lineRule="auto"/>
        <w:rPr>
          <w:rFonts w:ascii="Arial" w:hAnsi="Arial" w:cs="Arial"/>
          <w:sz w:val="24"/>
          <w:szCs w:val="24"/>
        </w:rPr>
      </w:pPr>
    </w:p>
    <w:p w14:paraId="2947F5C4" w14:textId="77777777" w:rsidR="004D5590" w:rsidRPr="003B1198" w:rsidRDefault="00180E1E" w:rsidP="00910FE7">
      <w:pPr>
        <w:tabs>
          <w:tab w:val="left" w:pos="510"/>
          <w:tab w:val="left" w:pos="1077"/>
          <w:tab w:val="left" w:pos="1797"/>
        </w:tabs>
        <w:spacing w:after="0" w:line="240" w:lineRule="auto"/>
        <w:ind w:left="1077" w:right="1077"/>
        <w:jc w:val="both"/>
        <w:rPr>
          <w:rFonts w:ascii="Arial" w:hAnsi="Arial" w:cs="Arial"/>
          <w:sz w:val="24"/>
          <w:szCs w:val="24"/>
        </w:rPr>
      </w:pPr>
      <w:r w:rsidRPr="003B1198">
        <w:rPr>
          <w:rFonts w:ascii="Arial" w:hAnsi="Arial" w:cs="Arial"/>
          <w:sz w:val="24"/>
          <w:szCs w:val="24"/>
        </w:rPr>
        <w:t xml:space="preserve">“Whilst the Tribunal have not </w:t>
      </w:r>
      <w:r w:rsidR="006129C3" w:rsidRPr="003B1198">
        <w:rPr>
          <w:rFonts w:ascii="Arial" w:hAnsi="Arial" w:cs="Arial"/>
          <w:sz w:val="24"/>
          <w:szCs w:val="24"/>
        </w:rPr>
        <w:t>specifically</w:t>
      </w:r>
      <w:r w:rsidRPr="003B1198">
        <w:rPr>
          <w:rFonts w:ascii="Arial" w:hAnsi="Arial" w:cs="Arial"/>
          <w:sz w:val="24"/>
          <w:szCs w:val="24"/>
        </w:rPr>
        <w:t xml:space="preserve"> </w:t>
      </w:r>
      <w:r w:rsidR="007330D8" w:rsidRPr="003B1198">
        <w:rPr>
          <w:rFonts w:ascii="Arial" w:hAnsi="Arial" w:cs="Arial"/>
          <w:sz w:val="24"/>
          <w:szCs w:val="24"/>
        </w:rPr>
        <w:t>recorded</w:t>
      </w:r>
      <w:r w:rsidRPr="003B1198">
        <w:rPr>
          <w:rFonts w:ascii="Arial" w:hAnsi="Arial" w:cs="Arial"/>
          <w:sz w:val="24"/>
          <w:szCs w:val="24"/>
        </w:rPr>
        <w:t xml:space="preserve"> </w:t>
      </w:r>
      <w:r w:rsidR="00710DEF" w:rsidRPr="003B1198">
        <w:rPr>
          <w:rFonts w:ascii="Arial" w:hAnsi="Arial" w:cs="Arial"/>
          <w:sz w:val="24"/>
          <w:szCs w:val="24"/>
        </w:rPr>
        <w:t xml:space="preserve">that they questioned [the </w:t>
      </w:r>
      <w:r w:rsidR="00F96FD1" w:rsidRPr="003B1198">
        <w:rPr>
          <w:rFonts w:ascii="Arial" w:hAnsi="Arial" w:cs="Arial"/>
          <w:sz w:val="24"/>
          <w:szCs w:val="24"/>
        </w:rPr>
        <w:t>a</w:t>
      </w:r>
      <w:r w:rsidR="006129C3" w:rsidRPr="003B1198">
        <w:rPr>
          <w:rFonts w:ascii="Arial" w:hAnsi="Arial" w:cs="Arial"/>
          <w:sz w:val="24"/>
          <w:szCs w:val="24"/>
        </w:rPr>
        <w:t>ppellant</w:t>
      </w:r>
      <w:r w:rsidR="00710DEF" w:rsidRPr="003B1198">
        <w:rPr>
          <w:rFonts w:ascii="Arial" w:hAnsi="Arial" w:cs="Arial"/>
          <w:sz w:val="24"/>
          <w:szCs w:val="24"/>
        </w:rPr>
        <w:t xml:space="preserve">] in relation to why he </w:t>
      </w:r>
      <w:r w:rsidR="00A30BDF" w:rsidRPr="003B1198">
        <w:rPr>
          <w:rFonts w:ascii="Arial" w:hAnsi="Arial" w:cs="Arial"/>
          <w:sz w:val="24"/>
          <w:szCs w:val="24"/>
        </w:rPr>
        <w:t>w</w:t>
      </w:r>
      <w:r w:rsidR="00710DEF" w:rsidRPr="003B1198">
        <w:rPr>
          <w:rFonts w:ascii="Arial" w:hAnsi="Arial" w:cs="Arial"/>
          <w:sz w:val="24"/>
          <w:szCs w:val="24"/>
        </w:rPr>
        <w:t xml:space="preserve">as applying for </w:t>
      </w:r>
      <w:r w:rsidR="006129C3" w:rsidRPr="003B1198">
        <w:rPr>
          <w:rFonts w:ascii="Arial" w:hAnsi="Arial" w:cs="Arial"/>
          <w:sz w:val="24"/>
          <w:szCs w:val="24"/>
        </w:rPr>
        <w:t>jobs</w:t>
      </w:r>
      <w:r w:rsidR="00710DEF" w:rsidRPr="003B1198">
        <w:rPr>
          <w:rFonts w:ascii="Arial" w:hAnsi="Arial" w:cs="Arial"/>
          <w:sz w:val="24"/>
          <w:szCs w:val="24"/>
        </w:rPr>
        <w:t xml:space="preserve"> and seeking sick note</w:t>
      </w:r>
      <w:r w:rsidR="00A30BDF" w:rsidRPr="003B1198">
        <w:rPr>
          <w:rFonts w:ascii="Arial" w:hAnsi="Arial" w:cs="Arial"/>
          <w:sz w:val="24"/>
          <w:szCs w:val="24"/>
        </w:rPr>
        <w:t>s</w:t>
      </w:r>
      <w:r w:rsidR="00710DEF" w:rsidRPr="003B1198">
        <w:rPr>
          <w:rFonts w:ascii="Arial" w:hAnsi="Arial" w:cs="Arial"/>
          <w:sz w:val="24"/>
          <w:szCs w:val="24"/>
        </w:rPr>
        <w:t xml:space="preserve"> from his GP </w:t>
      </w:r>
      <w:r w:rsidR="001624DB" w:rsidRPr="003B1198">
        <w:rPr>
          <w:rFonts w:ascii="Arial" w:hAnsi="Arial" w:cs="Arial"/>
          <w:sz w:val="24"/>
          <w:szCs w:val="24"/>
        </w:rPr>
        <w:t xml:space="preserve">I </w:t>
      </w:r>
      <w:r w:rsidR="006129C3" w:rsidRPr="003B1198">
        <w:rPr>
          <w:rFonts w:ascii="Arial" w:hAnsi="Arial" w:cs="Arial"/>
          <w:sz w:val="24"/>
          <w:szCs w:val="24"/>
        </w:rPr>
        <w:t>cannot</w:t>
      </w:r>
      <w:r w:rsidR="001624DB" w:rsidRPr="003B1198">
        <w:rPr>
          <w:rFonts w:ascii="Arial" w:hAnsi="Arial" w:cs="Arial"/>
          <w:sz w:val="24"/>
          <w:szCs w:val="24"/>
        </w:rPr>
        <w:t xml:space="preserve"> say with certainty that they did not.</w:t>
      </w:r>
      <w:r w:rsidR="00A30BDF" w:rsidRPr="003B1198">
        <w:rPr>
          <w:rFonts w:ascii="Arial" w:hAnsi="Arial" w:cs="Arial"/>
          <w:sz w:val="24"/>
          <w:szCs w:val="24"/>
        </w:rPr>
        <w:t>”</w:t>
      </w:r>
    </w:p>
    <w:p w14:paraId="48AC16C0" w14:textId="77777777" w:rsidR="004316BC" w:rsidRPr="003B1198" w:rsidRDefault="004316BC" w:rsidP="006A5C2C">
      <w:pPr>
        <w:tabs>
          <w:tab w:val="left" w:pos="510"/>
          <w:tab w:val="left" w:pos="1077"/>
          <w:tab w:val="left" w:pos="1797"/>
        </w:tabs>
        <w:spacing w:after="0" w:line="240" w:lineRule="auto"/>
        <w:rPr>
          <w:rFonts w:ascii="Arial" w:hAnsi="Arial" w:cs="Arial"/>
          <w:sz w:val="24"/>
          <w:szCs w:val="24"/>
        </w:rPr>
      </w:pPr>
    </w:p>
    <w:p w14:paraId="0CF1A695" w14:textId="63AA3559" w:rsidR="004316BC" w:rsidRPr="003B1198" w:rsidRDefault="00910FE7" w:rsidP="001E704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13.</w:t>
      </w:r>
      <w:r>
        <w:rPr>
          <w:rFonts w:ascii="Arial" w:hAnsi="Arial" w:cs="Arial"/>
          <w:sz w:val="24"/>
          <w:szCs w:val="24"/>
        </w:rPr>
        <w:tab/>
      </w:r>
      <w:r w:rsidR="007032CA" w:rsidRPr="003B1198">
        <w:rPr>
          <w:rFonts w:ascii="Arial" w:hAnsi="Arial" w:cs="Arial"/>
          <w:sz w:val="24"/>
          <w:szCs w:val="24"/>
        </w:rPr>
        <w:t xml:space="preserve">There are </w:t>
      </w:r>
      <w:r w:rsidR="006367C2" w:rsidRPr="003B1198">
        <w:rPr>
          <w:rFonts w:ascii="Arial" w:hAnsi="Arial" w:cs="Arial"/>
          <w:sz w:val="24"/>
          <w:szCs w:val="24"/>
        </w:rPr>
        <w:t>numerous</w:t>
      </w:r>
      <w:r w:rsidR="00FE1573" w:rsidRPr="003B1198">
        <w:rPr>
          <w:rFonts w:ascii="Arial" w:hAnsi="Arial" w:cs="Arial"/>
          <w:sz w:val="24"/>
          <w:szCs w:val="24"/>
        </w:rPr>
        <w:t xml:space="preserve"> reasons why a tribunal might record its view that a claimant lacked any </w:t>
      </w:r>
      <w:r w:rsidR="00D025AD" w:rsidRPr="003B1198">
        <w:rPr>
          <w:rFonts w:ascii="Arial" w:hAnsi="Arial" w:cs="Arial"/>
          <w:sz w:val="24"/>
          <w:szCs w:val="24"/>
        </w:rPr>
        <w:t>limitations</w:t>
      </w:r>
      <w:r w:rsidR="00FE1573" w:rsidRPr="003B1198">
        <w:rPr>
          <w:rFonts w:ascii="Arial" w:hAnsi="Arial" w:cs="Arial"/>
          <w:sz w:val="24"/>
          <w:szCs w:val="24"/>
        </w:rPr>
        <w:t xml:space="preserve"> which would affect his capability to work</w:t>
      </w:r>
      <w:r w:rsidR="00484B0F" w:rsidRPr="003B1198">
        <w:rPr>
          <w:rFonts w:ascii="Arial" w:hAnsi="Arial" w:cs="Arial"/>
          <w:sz w:val="24"/>
          <w:szCs w:val="24"/>
        </w:rPr>
        <w:t xml:space="preserve">; that </w:t>
      </w:r>
      <w:r w:rsidR="00D4661B" w:rsidRPr="003B1198">
        <w:rPr>
          <w:rFonts w:ascii="Arial" w:hAnsi="Arial" w:cs="Arial"/>
          <w:sz w:val="24"/>
          <w:szCs w:val="24"/>
        </w:rPr>
        <w:t>it did so</w:t>
      </w:r>
      <w:r w:rsidR="00840D43" w:rsidRPr="003B1198">
        <w:rPr>
          <w:rFonts w:ascii="Arial" w:hAnsi="Arial" w:cs="Arial"/>
          <w:sz w:val="24"/>
          <w:szCs w:val="24"/>
        </w:rPr>
        <w:t>,</w:t>
      </w:r>
      <w:r w:rsidR="00D4661B" w:rsidRPr="003B1198">
        <w:rPr>
          <w:rFonts w:ascii="Arial" w:hAnsi="Arial" w:cs="Arial"/>
          <w:sz w:val="24"/>
          <w:szCs w:val="24"/>
        </w:rPr>
        <w:t xml:space="preserve"> p</w:t>
      </w:r>
      <w:r w:rsidR="00D025AD" w:rsidRPr="003B1198">
        <w:rPr>
          <w:rFonts w:ascii="Arial" w:hAnsi="Arial" w:cs="Arial"/>
          <w:sz w:val="24"/>
          <w:szCs w:val="24"/>
        </w:rPr>
        <w:t>rompted</w:t>
      </w:r>
      <w:r w:rsidR="00D4661B" w:rsidRPr="003B1198">
        <w:rPr>
          <w:rFonts w:ascii="Arial" w:hAnsi="Arial" w:cs="Arial"/>
          <w:sz w:val="24"/>
          <w:szCs w:val="24"/>
        </w:rPr>
        <w:t xml:space="preserve"> by </w:t>
      </w:r>
      <w:r w:rsidR="00D025AD" w:rsidRPr="003B1198">
        <w:rPr>
          <w:rFonts w:ascii="Arial" w:hAnsi="Arial" w:cs="Arial"/>
          <w:sz w:val="24"/>
          <w:szCs w:val="24"/>
        </w:rPr>
        <w:t>having</w:t>
      </w:r>
      <w:r w:rsidR="00D4661B" w:rsidRPr="003B1198">
        <w:rPr>
          <w:rFonts w:ascii="Arial" w:hAnsi="Arial" w:cs="Arial"/>
          <w:sz w:val="24"/>
          <w:szCs w:val="24"/>
        </w:rPr>
        <w:t xml:space="preserve"> explored the co</w:t>
      </w:r>
      <w:r w:rsidR="0042088F" w:rsidRPr="003B1198">
        <w:rPr>
          <w:rFonts w:ascii="Arial" w:hAnsi="Arial" w:cs="Arial"/>
          <w:sz w:val="24"/>
          <w:szCs w:val="24"/>
        </w:rPr>
        <w:t>r</w:t>
      </w:r>
      <w:r w:rsidR="00D4661B" w:rsidRPr="003B1198">
        <w:rPr>
          <w:rFonts w:ascii="Arial" w:hAnsi="Arial" w:cs="Arial"/>
          <w:sz w:val="24"/>
          <w:szCs w:val="24"/>
        </w:rPr>
        <w:t xml:space="preserve">relation between </w:t>
      </w:r>
      <w:r w:rsidR="00CB1DBA" w:rsidRPr="003B1198">
        <w:rPr>
          <w:rFonts w:ascii="Arial" w:hAnsi="Arial" w:cs="Arial"/>
          <w:sz w:val="24"/>
          <w:szCs w:val="24"/>
        </w:rPr>
        <w:t xml:space="preserve">the </w:t>
      </w:r>
      <w:r w:rsidR="002C5F0D" w:rsidRPr="003B1198">
        <w:rPr>
          <w:rFonts w:ascii="Arial" w:hAnsi="Arial" w:cs="Arial"/>
          <w:sz w:val="24"/>
          <w:szCs w:val="24"/>
        </w:rPr>
        <w:t>a</w:t>
      </w:r>
      <w:r w:rsidR="00CB1DBA" w:rsidRPr="003B1198">
        <w:rPr>
          <w:rFonts w:ascii="Arial" w:hAnsi="Arial" w:cs="Arial"/>
          <w:sz w:val="24"/>
          <w:szCs w:val="24"/>
        </w:rPr>
        <w:t>ppellant o</w:t>
      </w:r>
      <w:r w:rsidR="00D4661B" w:rsidRPr="003B1198">
        <w:rPr>
          <w:rFonts w:ascii="Arial" w:hAnsi="Arial" w:cs="Arial"/>
          <w:sz w:val="24"/>
          <w:szCs w:val="24"/>
        </w:rPr>
        <w:t>btaining</w:t>
      </w:r>
      <w:r w:rsidR="00CB1DBA" w:rsidRPr="003B1198">
        <w:rPr>
          <w:rFonts w:ascii="Arial" w:hAnsi="Arial" w:cs="Arial"/>
          <w:sz w:val="24"/>
          <w:szCs w:val="24"/>
        </w:rPr>
        <w:t xml:space="preserve"> </w:t>
      </w:r>
      <w:r w:rsidR="00D4661B" w:rsidRPr="003B1198">
        <w:rPr>
          <w:rFonts w:ascii="Arial" w:hAnsi="Arial" w:cs="Arial"/>
          <w:sz w:val="24"/>
          <w:szCs w:val="24"/>
        </w:rPr>
        <w:t xml:space="preserve">sick notes and </w:t>
      </w:r>
      <w:r w:rsidR="00D025AD" w:rsidRPr="003B1198">
        <w:rPr>
          <w:rFonts w:ascii="Arial" w:hAnsi="Arial" w:cs="Arial"/>
          <w:sz w:val="24"/>
          <w:szCs w:val="24"/>
        </w:rPr>
        <w:t>applying</w:t>
      </w:r>
      <w:r w:rsidR="00D4661B" w:rsidRPr="003B1198">
        <w:rPr>
          <w:rFonts w:ascii="Arial" w:hAnsi="Arial" w:cs="Arial"/>
          <w:sz w:val="24"/>
          <w:szCs w:val="24"/>
        </w:rPr>
        <w:t xml:space="preserve"> for jobs</w:t>
      </w:r>
      <w:r w:rsidR="00F96FD1" w:rsidRPr="003B1198">
        <w:rPr>
          <w:rFonts w:ascii="Arial" w:hAnsi="Arial" w:cs="Arial"/>
          <w:sz w:val="24"/>
          <w:szCs w:val="24"/>
        </w:rPr>
        <w:t>,</w:t>
      </w:r>
      <w:r w:rsidR="00D4661B" w:rsidRPr="003B1198">
        <w:rPr>
          <w:rFonts w:ascii="Arial" w:hAnsi="Arial" w:cs="Arial"/>
          <w:sz w:val="24"/>
          <w:szCs w:val="24"/>
        </w:rPr>
        <w:t xml:space="preserve"> is</w:t>
      </w:r>
      <w:r w:rsidR="002573D1" w:rsidRPr="003B1198">
        <w:rPr>
          <w:rFonts w:ascii="Arial" w:hAnsi="Arial" w:cs="Arial"/>
          <w:sz w:val="24"/>
          <w:szCs w:val="24"/>
        </w:rPr>
        <w:t xml:space="preserve"> </w:t>
      </w:r>
      <w:r w:rsidR="00D025AD" w:rsidRPr="003B1198">
        <w:rPr>
          <w:rFonts w:ascii="Arial" w:hAnsi="Arial" w:cs="Arial"/>
          <w:sz w:val="24"/>
          <w:szCs w:val="24"/>
        </w:rPr>
        <w:t>mere</w:t>
      </w:r>
      <w:r w:rsidR="002573D1" w:rsidRPr="003B1198">
        <w:rPr>
          <w:rFonts w:ascii="Arial" w:hAnsi="Arial" w:cs="Arial"/>
          <w:sz w:val="24"/>
          <w:szCs w:val="24"/>
        </w:rPr>
        <w:t xml:space="preserve"> speculation.</w:t>
      </w:r>
    </w:p>
    <w:p w14:paraId="2D906C02" w14:textId="77777777" w:rsidR="004316BC" w:rsidRPr="003B1198" w:rsidRDefault="004316BC" w:rsidP="001E7049">
      <w:pPr>
        <w:tabs>
          <w:tab w:val="left" w:pos="510"/>
          <w:tab w:val="left" w:pos="1077"/>
          <w:tab w:val="left" w:pos="1797"/>
        </w:tabs>
        <w:spacing w:after="0" w:line="240" w:lineRule="auto"/>
        <w:ind w:left="510" w:hanging="510"/>
        <w:jc w:val="both"/>
        <w:rPr>
          <w:rFonts w:ascii="Arial" w:hAnsi="Arial" w:cs="Arial"/>
          <w:sz w:val="24"/>
          <w:szCs w:val="24"/>
        </w:rPr>
      </w:pPr>
    </w:p>
    <w:p w14:paraId="188C6651" w14:textId="7209AD91" w:rsidR="0030773C" w:rsidRPr="003B1198" w:rsidRDefault="00741AF9" w:rsidP="001E704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14.</w:t>
      </w:r>
      <w:r>
        <w:rPr>
          <w:rFonts w:ascii="Arial" w:hAnsi="Arial" w:cs="Arial"/>
          <w:sz w:val="24"/>
          <w:szCs w:val="24"/>
        </w:rPr>
        <w:tab/>
      </w:r>
      <w:r w:rsidR="00BE1C02" w:rsidRPr="003B1198">
        <w:rPr>
          <w:rFonts w:ascii="Arial" w:hAnsi="Arial" w:cs="Arial"/>
          <w:sz w:val="24"/>
          <w:szCs w:val="24"/>
        </w:rPr>
        <w:t xml:space="preserve">Nor is it </w:t>
      </w:r>
      <w:r w:rsidR="007633E1" w:rsidRPr="003B1198">
        <w:rPr>
          <w:rFonts w:ascii="Arial" w:hAnsi="Arial" w:cs="Arial"/>
          <w:sz w:val="24"/>
          <w:szCs w:val="24"/>
        </w:rPr>
        <w:t>necessary to be able to say “with certainty” that the tribunal did</w:t>
      </w:r>
      <w:r w:rsidR="00D025AD" w:rsidRPr="003B1198">
        <w:rPr>
          <w:rFonts w:ascii="Arial" w:hAnsi="Arial" w:cs="Arial"/>
          <w:sz w:val="24"/>
          <w:szCs w:val="24"/>
        </w:rPr>
        <w:t xml:space="preserve"> not</w:t>
      </w:r>
      <w:r w:rsidR="007633E1" w:rsidRPr="003B1198">
        <w:rPr>
          <w:rFonts w:ascii="Arial" w:hAnsi="Arial" w:cs="Arial"/>
          <w:sz w:val="24"/>
          <w:szCs w:val="24"/>
        </w:rPr>
        <w:t xml:space="preserve"> </w:t>
      </w:r>
      <w:r w:rsidR="007330D8" w:rsidRPr="003B1198">
        <w:rPr>
          <w:rFonts w:ascii="Arial" w:hAnsi="Arial" w:cs="Arial"/>
          <w:sz w:val="24"/>
          <w:szCs w:val="24"/>
        </w:rPr>
        <w:t>explore</w:t>
      </w:r>
      <w:r w:rsidR="007633E1" w:rsidRPr="003B1198">
        <w:rPr>
          <w:rFonts w:ascii="Arial" w:hAnsi="Arial" w:cs="Arial"/>
          <w:sz w:val="24"/>
          <w:szCs w:val="24"/>
        </w:rPr>
        <w:t xml:space="preserve"> that correlation.</w:t>
      </w:r>
      <w:r>
        <w:rPr>
          <w:rFonts w:ascii="Arial" w:hAnsi="Arial" w:cs="Arial"/>
          <w:sz w:val="24"/>
          <w:szCs w:val="24"/>
        </w:rPr>
        <w:t xml:space="preserve"> </w:t>
      </w:r>
      <w:r w:rsidR="00C033D9" w:rsidRPr="003B1198">
        <w:rPr>
          <w:rFonts w:ascii="Arial" w:hAnsi="Arial" w:cs="Arial"/>
          <w:sz w:val="24"/>
          <w:szCs w:val="24"/>
        </w:rPr>
        <w:t xml:space="preserve"> </w:t>
      </w:r>
      <w:r w:rsidR="0049408E" w:rsidRPr="003B1198">
        <w:rPr>
          <w:rFonts w:ascii="Arial" w:hAnsi="Arial" w:cs="Arial"/>
          <w:sz w:val="24"/>
          <w:szCs w:val="24"/>
        </w:rPr>
        <w:t xml:space="preserve">It is for the tribunal to provide legally adequate </w:t>
      </w:r>
      <w:r w:rsidR="00D025AD" w:rsidRPr="003B1198">
        <w:rPr>
          <w:rFonts w:ascii="Arial" w:hAnsi="Arial" w:cs="Arial"/>
          <w:sz w:val="24"/>
          <w:szCs w:val="24"/>
        </w:rPr>
        <w:t>reasons</w:t>
      </w:r>
      <w:r w:rsidR="0049408E" w:rsidRPr="003B1198">
        <w:rPr>
          <w:rFonts w:ascii="Arial" w:hAnsi="Arial" w:cs="Arial"/>
          <w:sz w:val="24"/>
          <w:szCs w:val="24"/>
        </w:rPr>
        <w:t xml:space="preserve"> </w:t>
      </w:r>
      <w:r w:rsidR="007330D8" w:rsidRPr="003B1198">
        <w:rPr>
          <w:rFonts w:ascii="Arial" w:hAnsi="Arial" w:cs="Arial"/>
          <w:sz w:val="24"/>
          <w:szCs w:val="24"/>
        </w:rPr>
        <w:t>to</w:t>
      </w:r>
      <w:r w:rsidR="0049408E" w:rsidRPr="003B1198">
        <w:rPr>
          <w:rFonts w:ascii="Arial" w:hAnsi="Arial" w:cs="Arial"/>
          <w:sz w:val="24"/>
          <w:szCs w:val="24"/>
        </w:rPr>
        <w:t xml:space="preserve"> explain its </w:t>
      </w:r>
      <w:r w:rsidR="00D025AD" w:rsidRPr="003B1198">
        <w:rPr>
          <w:rFonts w:ascii="Arial" w:hAnsi="Arial" w:cs="Arial"/>
          <w:sz w:val="24"/>
          <w:szCs w:val="24"/>
        </w:rPr>
        <w:t>decision</w:t>
      </w:r>
      <w:r w:rsidR="00605E67" w:rsidRPr="003B1198">
        <w:rPr>
          <w:rFonts w:ascii="Arial" w:hAnsi="Arial" w:cs="Arial"/>
          <w:sz w:val="24"/>
          <w:szCs w:val="24"/>
        </w:rPr>
        <w:t xml:space="preserve">. </w:t>
      </w:r>
      <w:r>
        <w:rPr>
          <w:rFonts w:ascii="Arial" w:hAnsi="Arial" w:cs="Arial"/>
          <w:sz w:val="24"/>
          <w:szCs w:val="24"/>
        </w:rPr>
        <w:t xml:space="preserve"> </w:t>
      </w:r>
      <w:proofErr w:type="gramStart"/>
      <w:r w:rsidR="00605E67" w:rsidRPr="003B1198">
        <w:rPr>
          <w:rFonts w:ascii="Arial" w:hAnsi="Arial" w:cs="Arial"/>
          <w:sz w:val="24"/>
          <w:szCs w:val="24"/>
        </w:rPr>
        <w:t>Thus</w:t>
      </w:r>
      <w:proofErr w:type="gramEnd"/>
      <w:r w:rsidR="00605E67" w:rsidRPr="003B1198">
        <w:rPr>
          <w:rFonts w:ascii="Arial" w:hAnsi="Arial" w:cs="Arial"/>
          <w:sz w:val="24"/>
          <w:szCs w:val="24"/>
        </w:rPr>
        <w:t xml:space="preserve"> </w:t>
      </w:r>
      <w:r w:rsidR="001D4804" w:rsidRPr="003B1198">
        <w:rPr>
          <w:rFonts w:ascii="Arial" w:hAnsi="Arial" w:cs="Arial"/>
          <w:sz w:val="24"/>
          <w:szCs w:val="24"/>
        </w:rPr>
        <w:t>i</w:t>
      </w:r>
      <w:r w:rsidR="006F75EE" w:rsidRPr="003B1198">
        <w:rPr>
          <w:rFonts w:ascii="Arial" w:hAnsi="Arial" w:cs="Arial"/>
          <w:sz w:val="24"/>
          <w:szCs w:val="24"/>
        </w:rPr>
        <w:t>n</w:t>
      </w:r>
      <w:r w:rsidR="008055E0" w:rsidRPr="003B1198">
        <w:rPr>
          <w:rFonts w:ascii="Arial" w:hAnsi="Arial" w:cs="Arial"/>
          <w:sz w:val="24"/>
          <w:szCs w:val="24"/>
        </w:rPr>
        <w:t xml:space="preserve"> </w:t>
      </w:r>
      <w:r w:rsidR="008055E0" w:rsidRPr="003B1198">
        <w:rPr>
          <w:rFonts w:ascii="Arial" w:hAnsi="Arial" w:cs="Arial"/>
          <w:i/>
          <w:iCs/>
          <w:sz w:val="24"/>
          <w:szCs w:val="24"/>
        </w:rPr>
        <w:t xml:space="preserve">W v Leeds </w:t>
      </w:r>
      <w:r w:rsidR="0030773C" w:rsidRPr="003B1198">
        <w:rPr>
          <w:rFonts w:ascii="Arial" w:hAnsi="Arial" w:cs="Arial"/>
          <w:i/>
          <w:iCs/>
          <w:sz w:val="24"/>
          <w:szCs w:val="24"/>
        </w:rPr>
        <w:t>C</w:t>
      </w:r>
      <w:r w:rsidR="008055E0" w:rsidRPr="003B1198">
        <w:rPr>
          <w:rFonts w:ascii="Arial" w:hAnsi="Arial" w:cs="Arial"/>
          <w:i/>
          <w:iCs/>
          <w:sz w:val="24"/>
          <w:szCs w:val="24"/>
        </w:rPr>
        <w:t xml:space="preserve">ity </w:t>
      </w:r>
      <w:r w:rsidR="0030773C" w:rsidRPr="003B1198">
        <w:rPr>
          <w:rFonts w:ascii="Arial" w:hAnsi="Arial" w:cs="Arial"/>
          <w:i/>
          <w:iCs/>
          <w:sz w:val="24"/>
          <w:szCs w:val="24"/>
        </w:rPr>
        <w:t>C</w:t>
      </w:r>
      <w:r w:rsidR="008055E0" w:rsidRPr="003B1198">
        <w:rPr>
          <w:rFonts w:ascii="Arial" w:hAnsi="Arial" w:cs="Arial"/>
          <w:i/>
          <w:iCs/>
          <w:sz w:val="24"/>
          <w:szCs w:val="24"/>
        </w:rPr>
        <w:t>ouncil and SENDIST</w:t>
      </w:r>
      <w:r w:rsidR="0030773C" w:rsidRPr="003B1198">
        <w:rPr>
          <w:rFonts w:ascii="Arial" w:hAnsi="Arial" w:cs="Arial"/>
          <w:sz w:val="24"/>
          <w:szCs w:val="24"/>
        </w:rPr>
        <w:t xml:space="preserve"> [2006] ELR 617</w:t>
      </w:r>
      <w:r w:rsidR="004907A4" w:rsidRPr="003B1198">
        <w:rPr>
          <w:rFonts w:ascii="Arial" w:hAnsi="Arial" w:cs="Arial"/>
          <w:sz w:val="24"/>
          <w:szCs w:val="24"/>
        </w:rPr>
        <w:t xml:space="preserve"> Wall LJ said</w:t>
      </w:r>
      <w:r w:rsidR="00AA3BE8" w:rsidRPr="003B1198">
        <w:rPr>
          <w:rFonts w:ascii="Arial" w:hAnsi="Arial" w:cs="Arial"/>
          <w:sz w:val="24"/>
          <w:szCs w:val="24"/>
        </w:rPr>
        <w:t xml:space="preserve"> </w:t>
      </w:r>
      <w:r w:rsidR="00622EEF" w:rsidRPr="003B1198">
        <w:rPr>
          <w:rFonts w:ascii="Arial" w:hAnsi="Arial" w:cs="Arial"/>
          <w:sz w:val="24"/>
          <w:szCs w:val="24"/>
        </w:rPr>
        <w:t xml:space="preserve">in observations that were further endorsed by the Court of Appeal in </w:t>
      </w:r>
      <w:r w:rsidR="00622EEF" w:rsidRPr="003B1198">
        <w:rPr>
          <w:rFonts w:ascii="Arial" w:hAnsi="Arial" w:cs="Arial"/>
          <w:i/>
          <w:iCs/>
          <w:sz w:val="24"/>
          <w:szCs w:val="24"/>
        </w:rPr>
        <w:t>H v East Sussex CC</w:t>
      </w:r>
      <w:r w:rsidR="00CB6267" w:rsidRPr="003B1198">
        <w:rPr>
          <w:rFonts w:ascii="Arial" w:hAnsi="Arial" w:cs="Arial"/>
          <w:sz w:val="24"/>
          <w:szCs w:val="24"/>
        </w:rPr>
        <w:t xml:space="preserve"> [2009] EWCA </w:t>
      </w:r>
      <w:proofErr w:type="spellStart"/>
      <w:r w:rsidR="00CB6267" w:rsidRPr="003B1198">
        <w:rPr>
          <w:rFonts w:ascii="Arial" w:hAnsi="Arial" w:cs="Arial"/>
          <w:sz w:val="24"/>
          <w:szCs w:val="24"/>
        </w:rPr>
        <w:t>Civ</w:t>
      </w:r>
      <w:proofErr w:type="spellEnd"/>
      <w:r w:rsidR="00CB6267" w:rsidRPr="003B1198">
        <w:rPr>
          <w:rFonts w:ascii="Arial" w:hAnsi="Arial" w:cs="Arial"/>
          <w:sz w:val="24"/>
          <w:szCs w:val="24"/>
        </w:rPr>
        <w:t xml:space="preserve"> 249</w:t>
      </w:r>
      <w:r w:rsidR="004907A4" w:rsidRPr="003B1198">
        <w:rPr>
          <w:rFonts w:ascii="Arial" w:hAnsi="Arial" w:cs="Arial"/>
          <w:sz w:val="24"/>
          <w:szCs w:val="24"/>
        </w:rPr>
        <w:t>:</w:t>
      </w:r>
    </w:p>
    <w:p w14:paraId="5D3DDFE1" w14:textId="77777777" w:rsidR="004316BC" w:rsidRPr="003B1198" w:rsidRDefault="004316BC" w:rsidP="006A5C2C">
      <w:pPr>
        <w:tabs>
          <w:tab w:val="left" w:pos="510"/>
          <w:tab w:val="left" w:pos="1077"/>
          <w:tab w:val="left" w:pos="1797"/>
        </w:tabs>
        <w:spacing w:after="0" w:line="240" w:lineRule="auto"/>
        <w:rPr>
          <w:rFonts w:ascii="Arial" w:hAnsi="Arial" w:cs="Arial"/>
          <w:sz w:val="24"/>
          <w:szCs w:val="24"/>
        </w:rPr>
      </w:pPr>
    </w:p>
    <w:p w14:paraId="29C2AC42" w14:textId="5097D933" w:rsidR="004907A4" w:rsidRDefault="008E1F70" w:rsidP="00270C0E">
      <w:pPr>
        <w:tabs>
          <w:tab w:val="left" w:pos="510"/>
          <w:tab w:val="left" w:pos="1077"/>
          <w:tab w:val="left" w:pos="1797"/>
        </w:tabs>
        <w:spacing w:after="0" w:line="240" w:lineRule="auto"/>
        <w:ind w:left="1077" w:right="1077"/>
        <w:jc w:val="both"/>
        <w:rPr>
          <w:rFonts w:ascii="Arial" w:hAnsi="Arial" w:cs="Arial"/>
          <w:sz w:val="24"/>
          <w:szCs w:val="24"/>
        </w:rPr>
      </w:pPr>
      <w:r w:rsidRPr="003B1198">
        <w:rPr>
          <w:rFonts w:ascii="Arial" w:hAnsi="Arial" w:cs="Arial"/>
          <w:sz w:val="24"/>
          <w:szCs w:val="24"/>
        </w:rPr>
        <w:t>“</w:t>
      </w:r>
      <w:r w:rsidR="004907A4" w:rsidRPr="003B1198">
        <w:rPr>
          <w:rFonts w:ascii="Arial" w:hAnsi="Arial" w:cs="Arial"/>
          <w:sz w:val="24"/>
          <w:szCs w:val="24"/>
        </w:rPr>
        <w:t xml:space="preserve">53. I do not think it necessary for this court to add to the already substantial jurisprudence on this topic. </w:t>
      </w:r>
      <w:r w:rsidR="001E7049">
        <w:rPr>
          <w:rFonts w:ascii="Arial" w:hAnsi="Arial" w:cs="Arial"/>
          <w:sz w:val="24"/>
          <w:szCs w:val="24"/>
        </w:rPr>
        <w:t xml:space="preserve"> </w:t>
      </w:r>
      <w:r w:rsidR="004907A4" w:rsidRPr="003B1198">
        <w:rPr>
          <w:rFonts w:ascii="Arial" w:hAnsi="Arial" w:cs="Arial"/>
          <w:sz w:val="24"/>
          <w:szCs w:val="24"/>
        </w:rPr>
        <w:t>Speaking for myself, I have always regarded the judgment of Sir Thomas Bingham MR (as he then was) in this court in</w:t>
      </w:r>
      <w:r w:rsidR="001E7049">
        <w:rPr>
          <w:rFonts w:ascii="Arial" w:hAnsi="Arial" w:cs="Arial"/>
          <w:sz w:val="24"/>
          <w:szCs w:val="24"/>
        </w:rPr>
        <w:t xml:space="preserve"> </w:t>
      </w:r>
      <w:r w:rsidR="004907A4" w:rsidRPr="003B1198">
        <w:rPr>
          <w:rFonts w:ascii="Arial" w:hAnsi="Arial" w:cs="Arial"/>
          <w:i/>
          <w:iCs/>
          <w:sz w:val="24"/>
          <w:szCs w:val="24"/>
        </w:rPr>
        <w:t>Meek v Birmingham City</w:t>
      </w:r>
      <w:r w:rsidR="00ED306B" w:rsidRPr="003B1198">
        <w:rPr>
          <w:rFonts w:ascii="Arial" w:hAnsi="Arial" w:cs="Arial"/>
          <w:i/>
          <w:iCs/>
          <w:sz w:val="24"/>
          <w:szCs w:val="24"/>
        </w:rPr>
        <w:t xml:space="preserve"> Council </w:t>
      </w:r>
      <w:r w:rsidR="004907A4" w:rsidRPr="003B1198">
        <w:rPr>
          <w:rFonts w:ascii="Arial" w:hAnsi="Arial" w:cs="Arial"/>
          <w:sz w:val="24"/>
          <w:szCs w:val="24"/>
        </w:rPr>
        <w:t>[1987] IRLR 250</w:t>
      </w:r>
      <w:r w:rsidR="001E7049">
        <w:rPr>
          <w:rFonts w:ascii="Arial" w:hAnsi="Arial" w:cs="Arial"/>
          <w:sz w:val="24"/>
          <w:szCs w:val="24"/>
        </w:rPr>
        <w:t xml:space="preserve"> </w:t>
      </w:r>
      <w:r w:rsidR="004907A4" w:rsidRPr="003B1198">
        <w:rPr>
          <w:rFonts w:ascii="Arial" w:hAnsi="Arial" w:cs="Arial"/>
          <w:sz w:val="24"/>
          <w:szCs w:val="24"/>
        </w:rPr>
        <w:t xml:space="preserve">(even though it substantially antedates the incorporation into English Law of ECHR) as the definitive exposition of the attitude superior courts should adopt to the reasons given by Tribunals. </w:t>
      </w:r>
      <w:r w:rsidR="001E7049">
        <w:rPr>
          <w:rFonts w:ascii="Arial" w:hAnsi="Arial" w:cs="Arial"/>
          <w:sz w:val="24"/>
          <w:szCs w:val="24"/>
        </w:rPr>
        <w:t xml:space="preserve"> </w:t>
      </w:r>
      <w:r w:rsidR="004907A4" w:rsidRPr="003B1198">
        <w:rPr>
          <w:rFonts w:ascii="Arial" w:hAnsi="Arial" w:cs="Arial"/>
          <w:sz w:val="24"/>
          <w:szCs w:val="24"/>
        </w:rPr>
        <w:t xml:space="preserve">Whilst, of course, some aspects of the reasoning processes of different specialist tribunals are unique to the particular </w:t>
      </w:r>
      <w:proofErr w:type="gramStart"/>
      <w:r w:rsidR="004907A4" w:rsidRPr="003B1198">
        <w:rPr>
          <w:rFonts w:ascii="Arial" w:hAnsi="Arial" w:cs="Arial"/>
          <w:sz w:val="24"/>
          <w:szCs w:val="24"/>
        </w:rPr>
        <w:t>speciality</w:t>
      </w:r>
      <w:proofErr w:type="gramEnd"/>
      <w:r w:rsidR="004907A4" w:rsidRPr="003B1198">
        <w:rPr>
          <w:rFonts w:ascii="Arial" w:hAnsi="Arial" w:cs="Arial"/>
          <w:sz w:val="24"/>
          <w:szCs w:val="24"/>
        </w:rPr>
        <w:t xml:space="preserve"> which is engaged, I see no reason, in this context, to distinguish between Employment Tribunals and what are now SENDISTs.</w:t>
      </w:r>
      <w:r w:rsidR="001E7049">
        <w:rPr>
          <w:rFonts w:ascii="Arial" w:hAnsi="Arial" w:cs="Arial"/>
          <w:sz w:val="24"/>
          <w:szCs w:val="24"/>
        </w:rPr>
        <w:t xml:space="preserve"> </w:t>
      </w:r>
      <w:r w:rsidR="004907A4" w:rsidRPr="003B1198">
        <w:rPr>
          <w:rFonts w:ascii="Arial" w:hAnsi="Arial" w:cs="Arial"/>
          <w:sz w:val="24"/>
          <w:szCs w:val="24"/>
        </w:rPr>
        <w:t xml:space="preserve"> Sir Thomas said:</w:t>
      </w:r>
    </w:p>
    <w:p w14:paraId="5D080F86" w14:textId="77777777" w:rsidR="00741AF9" w:rsidRPr="003B1198" w:rsidRDefault="00741AF9" w:rsidP="006A5C2C">
      <w:pPr>
        <w:tabs>
          <w:tab w:val="left" w:pos="510"/>
          <w:tab w:val="left" w:pos="1077"/>
          <w:tab w:val="left" w:pos="1797"/>
        </w:tabs>
        <w:spacing w:after="0" w:line="240" w:lineRule="auto"/>
        <w:rPr>
          <w:rFonts w:ascii="Arial" w:hAnsi="Arial" w:cs="Arial"/>
          <w:sz w:val="24"/>
          <w:szCs w:val="24"/>
        </w:rPr>
      </w:pPr>
    </w:p>
    <w:p w14:paraId="2C571A92" w14:textId="08E7DBA6" w:rsidR="004907A4" w:rsidRPr="003B1198" w:rsidRDefault="004907A4" w:rsidP="00270C0E">
      <w:pPr>
        <w:tabs>
          <w:tab w:val="left" w:pos="510"/>
          <w:tab w:val="left" w:pos="1077"/>
          <w:tab w:val="left" w:pos="1797"/>
        </w:tabs>
        <w:spacing w:after="0" w:line="240" w:lineRule="auto"/>
        <w:ind w:left="1797" w:right="1797"/>
        <w:jc w:val="both"/>
        <w:rPr>
          <w:rFonts w:ascii="Arial" w:hAnsi="Arial" w:cs="Arial"/>
          <w:sz w:val="24"/>
          <w:szCs w:val="24"/>
        </w:rPr>
      </w:pPr>
      <w:r w:rsidRPr="003B1198">
        <w:rPr>
          <w:rFonts w:ascii="Arial" w:hAnsi="Arial" w:cs="Arial"/>
          <w:sz w:val="24"/>
          <w:szCs w:val="24"/>
        </w:rPr>
        <w:t xml:space="preserve">"It has on a number of occasions been made plain that the decision of an Industrial Tribunal is not required to be an elaborate formalistic product of refined legal </w:t>
      </w:r>
      <w:proofErr w:type="spellStart"/>
      <w:r w:rsidRPr="003B1198">
        <w:rPr>
          <w:rFonts w:ascii="Arial" w:hAnsi="Arial" w:cs="Arial"/>
          <w:sz w:val="24"/>
          <w:szCs w:val="24"/>
        </w:rPr>
        <w:t>draftsmanship</w:t>
      </w:r>
      <w:proofErr w:type="spellEnd"/>
      <w:r w:rsidRPr="003B1198">
        <w:rPr>
          <w:rFonts w:ascii="Arial" w:hAnsi="Arial" w:cs="Arial"/>
          <w:sz w:val="24"/>
          <w:szCs w:val="24"/>
        </w:rPr>
        <w:t>, but it must contain an outline of the story which has given rise to the complaint and a summary of the Tribunal's basic factual conclusions and a statement of the reasons which have led them to reach the conclusion which they do on those basic facts.</w:t>
      </w:r>
      <w:r w:rsidR="00270C0E">
        <w:rPr>
          <w:rFonts w:ascii="Arial" w:hAnsi="Arial" w:cs="Arial"/>
          <w:sz w:val="24"/>
          <w:szCs w:val="24"/>
        </w:rPr>
        <w:t xml:space="preserve"> </w:t>
      </w:r>
      <w:r w:rsidRPr="003B1198">
        <w:rPr>
          <w:rFonts w:ascii="Arial" w:hAnsi="Arial" w:cs="Arial"/>
          <w:sz w:val="24"/>
          <w:szCs w:val="24"/>
        </w:rPr>
        <w:t xml:space="preserve"> The parties are entitled to be told why they have won or lost. </w:t>
      </w:r>
      <w:r w:rsidR="00270C0E">
        <w:rPr>
          <w:rFonts w:ascii="Arial" w:hAnsi="Arial" w:cs="Arial"/>
          <w:sz w:val="24"/>
          <w:szCs w:val="24"/>
        </w:rPr>
        <w:t xml:space="preserve"> </w:t>
      </w:r>
      <w:r w:rsidRPr="003B1198">
        <w:rPr>
          <w:rFonts w:ascii="Arial" w:hAnsi="Arial" w:cs="Arial"/>
          <w:sz w:val="24"/>
          <w:szCs w:val="24"/>
        </w:rPr>
        <w:t>There should be sufficient account of the facts and of the reasoning to enable the EAT or, on further appeal, this court to see whether any question of law arises . . ."</w:t>
      </w:r>
    </w:p>
    <w:p w14:paraId="24A32E87" w14:textId="77777777" w:rsidR="004316BC" w:rsidRPr="003B1198" w:rsidRDefault="004316BC" w:rsidP="006A5C2C">
      <w:pPr>
        <w:tabs>
          <w:tab w:val="left" w:pos="510"/>
          <w:tab w:val="left" w:pos="1077"/>
          <w:tab w:val="left" w:pos="1797"/>
        </w:tabs>
        <w:spacing w:after="0" w:line="240" w:lineRule="auto"/>
        <w:rPr>
          <w:rFonts w:ascii="Arial" w:hAnsi="Arial" w:cs="Arial"/>
          <w:sz w:val="24"/>
          <w:szCs w:val="24"/>
        </w:rPr>
      </w:pPr>
    </w:p>
    <w:p w14:paraId="233CC291" w14:textId="273B55F3" w:rsidR="004316BC" w:rsidRPr="003B1198" w:rsidRDefault="00270C0E" w:rsidP="00150D7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15.</w:t>
      </w:r>
      <w:r>
        <w:rPr>
          <w:rFonts w:ascii="Arial" w:hAnsi="Arial" w:cs="Arial"/>
          <w:sz w:val="24"/>
          <w:szCs w:val="24"/>
        </w:rPr>
        <w:tab/>
      </w:r>
      <w:r w:rsidR="00793E0F" w:rsidRPr="003B1198">
        <w:rPr>
          <w:rFonts w:ascii="Arial" w:hAnsi="Arial" w:cs="Arial"/>
          <w:sz w:val="24"/>
          <w:szCs w:val="24"/>
        </w:rPr>
        <w:t xml:space="preserve">In my judgment the blatant tension between the regular obtaining of sicknotes over a prolonged period </w:t>
      </w:r>
      <w:r w:rsidR="00765F69" w:rsidRPr="003B1198">
        <w:rPr>
          <w:rFonts w:ascii="Arial" w:hAnsi="Arial" w:cs="Arial"/>
          <w:sz w:val="24"/>
          <w:szCs w:val="24"/>
        </w:rPr>
        <w:t>(</w:t>
      </w:r>
      <w:r w:rsidR="00793E0F" w:rsidRPr="003B1198">
        <w:rPr>
          <w:rFonts w:ascii="Arial" w:hAnsi="Arial" w:cs="Arial"/>
          <w:sz w:val="24"/>
          <w:szCs w:val="24"/>
        </w:rPr>
        <w:t xml:space="preserve">on the one </w:t>
      </w:r>
      <w:r w:rsidR="00D025AD" w:rsidRPr="003B1198">
        <w:rPr>
          <w:rFonts w:ascii="Arial" w:hAnsi="Arial" w:cs="Arial"/>
          <w:sz w:val="24"/>
          <w:szCs w:val="24"/>
        </w:rPr>
        <w:t>hand</w:t>
      </w:r>
      <w:r w:rsidR="00765F69" w:rsidRPr="003B1198">
        <w:rPr>
          <w:rFonts w:ascii="Arial" w:hAnsi="Arial" w:cs="Arial"/>
          <w:sz w:val="24"/>
          <w:szCs w:val="24"/>
        </w:rPr>
        <w:t>)</w:t>
      </w:r>
      <w:r w:rsidR="007D29CD" w:rsidRPr="003B1198">
        <w:rPr>
          <w:rFonts w:ascii="Arial" w:hAnsi="Arial" w:cs="Arial"/>
          <w:sz w:val="24"/>
          <w:szCs w:val="24"/>
        </w:rPr>
        <w:t xml:space="preserve"> and what the tribunal understood (whether rightly or wrongly) the </w:t>
      </w:r>
      <w:r w:rsidR="002C5F0D" w:rsidRPr="003B1198">
        <w:rPr>
          <w:rFonts w:ascii="Arial" w:hAnsi="Arial" w:cs="Arial"/>
          <w:sz w:val="24"/>
          <w:szCs w:val="24"/>
        </w:rPr>
        <w:t>a</w:t>
      </w:r>
      <w:r w:rsidR="007D29CD" w:rsidRPr="003B1198">
        <w:rPr>
          <w:rFonts w:ascii="Arial" w:hAnsi="Arial" w:cs="Arial"/>
          <w:sz w:val="24"/>
          <w:szCs w:val="24"/>
        </w:rPr>
        <w:t xml:space="preserve">ppellant to say regarding his view of his ability to work and the jobs he </w:t>
      </w:r>
      <w:r w:rsidR="00D025AD" w:rsidRPr="003B1198">
        <w:rPr>
          <w:rFonts w:ascii="Arial" w:hAnsi="Arial" w:cs="Arial"/>
          <w:sz w:val="24"/>
          <w:szCs w:val="24"/>
        </w:rPr>
        <w:t>had</w:t>
      </w:r>
      <w:r w:rsidR="007D29CD" w:rsidRPr="003B1198">
        <w:rPr>
          <w:rFonts w:ascii="Arial" w:hAnsi="Arial" w:cs="Arial"/>
          <w:sz w:val="24"/>
          <w:szCs w:val="24"/>
        </w:rPr>
        <w:t xml:space="preserve"> applied for</w:t>
      </w:r>
      <w:r w:rsidR="00987B96" w:rsidRPr="003B1198">
        <w:rPr>
          <w:rFonts w:ascii="Arial" w:hAnsi="Arial" w:cs="Arial"/>
          <w:sz w:val="24"/>
          <w:szCs w:val="24"/>
        </w:rPr>
        <w:t xml:space="preserve"> </w:t>
      </w:r>
      <w:r w:rsidR="00765F69" w:rsidRPr="003B1198">
        <w:rPr>
          <w:rFonts w:ascii="Arial" w:hAnsi="Arial" w:cs="Arial"/>
          <w:sz w:val="24"/>
          <w:szCs w:val="24"/>
        </w:rPr>
        <w:t xml:space="preserve">(on the other hand) </w:t>
      </w:r>
      <w:r w:rsidR="00987B96" w:rsidRPr="003B1198">
        <w:rPr>
          <w:rFonts w:ascii="Arial" w:hAnsi="Arial" w:cs="Arial"/>
          <w:sz w:val="24"/>
          <w:szCs w:val="24"/>
        </w:rPr>
        <w:t>needed t</w:t>
      </w:r>
      <w:r w:rsidR="0042088F" w:rsidRPr="003B1198">
        <w:rPr>
          <w:rFonts w:ascii="Arial" w:hAnsi="Arial" w:cs="Arial"/>
          <w:sz w:val="24"/>
          <w:szCs w:val="24"/>
        </w:rPr>
        <w:t>o</w:t>
      </w:r>
      <w:r w:rsidR="00987B96" w:rsidRPr="003B1198">
        <w:rPr>
          <w:rFonts w:ascii="Arial" w:hAnsi="Arial" w:cs="Arial"/>
          <w:sz w:val="24"/>
          <w:szCs w:val="24"/>
        </w:rPr>
        <w:t xml:space="preserve"> be </w:t>
      </w:r>
      <w:r w:rsidR="002444F9" w:rsidRPr="003B1198">
        <w:rPr>
          <w:rFonts w:ascii="Arial" w:hAnsi="Arial" w:cs="Arial"/>
          <w:sz w:val="24"/>
          <w:szCs w:val="24"/>
        </w:rPr>
        <w:t>expressly</w:t>
      </w:r>
      <w:r w:rsidR="00987B96" w:rsidRPr="003B1198">
        <w:rPr>
          <w:rFonts w:ascii="Arial" w:hAnsi="Arial" w:cs="Arial"/>
          <w:sz w:val="24"/>
          <w:szCs w:val="24"/>
        </w:rPr>
        <w:t xml:space="preserve"> addressed in the reasons if the tribunal </w:t>
      </w:r>
      <w:r w:rsidR="008A7802" w:rsidRPr="003B1198">
        <w:rPr>
          <w:rFonts w:ascii="Arial" w:hAnsi="Arial" w:cs="Arial"/>
          <w:sz w:val="24"/>
          <w:szCs w:val="24"/>
        </w:rPr>
        <w:t>did</w:t>
      </w:r>
      <w:r w:rsidR="00987B96" w:rsidRPr="003B1198">
        <w:rPr>
          <w:rFonts w:ascii="Arial" w:hAnsi="Arial" w:cs="Arial"/>
          <w:sz w:val="24"/>
          <w:szCs w:val="24"/>
        </w:rPr>
        <w:t xml:space="preserve"> </w:t>
      </w:r>
      <w:r w:rsidR="00C316C9" w:rsidRPr="003B1198">
        <w:rPr>
          <w:rFonts w:ascii="Arial" w:hAnsi="Arial" w:cs="Arial"/>
          <w:sz w:val="24"/>
          <w:szCs w:val="24"/>
        </w:rPr>
        <w:t>ask about it</w:t>
      </w:r>
      <w:r w:rsidR="00B534F0" w:rsidRPr="003B1198">
        <w:rPr>
          <w:rFonts w:ascii="Arial" w:hAnsi="Arial" w:cs="Arial"/>
          <w:sz w:val="24"/>
          <w:szCs w:val="24"/>
        </w:rPr>
        <w:t>.</w:t>
      </w:r>
      <w:r w:rsidR="00150D70">
        <w:rPr>
          <w:rFonts w:ascii="Arial" w:hAnsi="Arial" w:cs="Arial"/>
          <w:sz w:val="24"/>
          <w:szCs w:val="24"/>
        </w:rPr>
        <w:t xml:space="preserve"> </w:t>
      </w:r>
      <w:r w:rsidR="00B534F0" w:rsidRPr="003B1198">
        <w:rPr>
          <w:rFonts w:ascii="Arial" w:hAnsi="Arial" w:cs="Arial"/>
          <w:sz w:val="24"/>
          <w:szCs w:val="24"/>
        </w:rPr>
        <w:t xml:space="preserve"> If the</w:t>
      </w:r>
      <w:r w:rsidR="00822954" w:rsidRPr="003B1198">
        <w:rPr>
          <w:rFonts w:ascii="Arial" w:hAnsi="Arial" w:cs="Arial"/>
          <w:sz w:val="24"/>
          <w:szCs w:val="24"/>
        </w:rPr>
        <w:t xml:space="preserve"> tribunal</w:t>
      </w:r>
      <w:r w:rsidR="00B534F0" w:rsidRPr="003B1198">
        <w:rPr>
          <w:rFonts w:ascii="Arial" w:hAnsi="Arial" w:cs="Arial"/>
          <w:sz w:val="24"/>
          <w:szCs w:val="24"/>
        </w:rPr>
        <w:t xml:space="preserve"> did n</w:t>
      </w:r>
      <w:r w:rsidR="00822954" w:rsidRPr="003B1198">
        <w:rPr>
          <w:rFonts w:ascii="Arial" w:hAnsi="Arial" w:cs="Arial"/>
          <w:sz w:val="24"/>
          <w:szCs w:val="24"/>
        </w:rPr>
        <w:t>o</w:t>
      </w:r>
      <w:r w:rsidR="00B534F0" w:rsidRPr="003B1198">
        <w:rPr>
          <w:rFonts w:ascii="Arial" w:hAnsi="Arial" w:cs="Arial"/>
          <w:sz w:val="24"/>
          <w:szCs w:val="24"/>
        </w:rPr>
        <w:t>t explor</w:t>
      </w:r>
      <w:r w:rsidR="00C316C9" w:rsidRPr="003B1198">
        <w:rPr>
          <w:rFonts w:ascii="Arial" w:hAnsi="Arial" w:cs="Arial"/>
          <w:sz w:val="24"/>
          <w:szCs w:val="24"/>
        </w:rPr>
        <w:t xml:space="preserve">e it with the </w:t>
      </w:r>
      <w:r w:rsidR="002C5F0D" w:rsidRPr="003B1198">
        <w:rPr>
          <w:rFonts w:ascii="Arial" w:hAnsi="Arial" w:cs="Arial"/>
          <w:sz w:val="24"/>
          <w:szCs w:val="24"/>
        </w:rPr>
        <w:t>a</w:t>
      </w:r>
      <w:r w:rsidR="00C316C9" w:rsidRPr="003B1198">
        <w:rPr>
          <w:rFonts w:ascii="Arial" w:hAnsi="Arial" w:cs="Arial"/>
          <w:sz w:val="24"/>
          <w:szCs w:val="24"/>
        </w:rPr>
        <w:t xml:space="preserve">ppellant, </w:t>
      </w:r>
      <w:r w:rsidR="000734C3" w:rsidRPr="003B1198">
        <w:rPr>
          <w:rFonts w:ascii="Arial" w:hAnsi="Arial" w:cs="Arial"/>
          <w:sz w:val="24"/>
          <w:szCs w:val="24"/>
        </w:rPr>
        <w:t xml:space="preserve">as an </w:t>
      </w:r>
      <w:r w:rsidR="002444F9" w:rsidRPr="003B1198">
        <w:rPr>
          <w:rFonts w:ascii="Arial" w:hAnsi="Arial" w:cs="Arial"/>
          <w:sz w:val="24"/>
          <w:szCs w:val="24"/>
        </w:rPr>
        <w:t>inquisitorial</w:t>
      </w:r>
      <w:r w:rsidR="000734C3" w:rsidRPr="003B1198">
        <w:rPr>
          <w:rFonts w:ascii="Arial" w:hAnsi="Arial" w:cs="Arial"/>
          <w:sz w:val="24"/>
          <w:szCs w:val="24"/>
        </w:rPr>
        <w:t xml:space="preserve"> tribunal they needed to do so</w:t>
      </w:r>
      <w:r w:rsidR="00BC4D79" w:rsidRPr="003B1198">
        <w:rPr>
          <w:rFonts w:ascii="Arial" w:hAnsi="Arial" w:cs="Arial"/>
          <w:sz w:val="24"/>
          <w:szCs w:val="24"/>
        </w:rPr>
        <w:t>.</w:t>
      </w:r>
      <w:r w:rsidR="00150D70">
        <w:rPr>
          <w:rFonts w:ascii="Arial" w:hAnsi="Arial" w:cs="Arial"/>
          <w:sz w:val="24"/>
          <w:szCs w:val="24"/>
        </w:rPr>
        <w:t xml:space="preserve"> </w:t>
      </w:r>
      <w:r w:rsidR="000734C3" w:rsidRPr="003B1198">
        <w:rPr>
          <w:rFonts w:ascii="Arial" w:hAnsi="Arial" w:cs="Arial"/>
          <w:sz w:val="24"/>
          <w:szCs w:val="24"/>
        </w:rPr>
        <w:t xml:space="preserve"> </w:t>
      </w:r>
      <w:r w:rsidR="00BC4D79" w:rsidRPr="003B1198">
        <w:rPr>
          <w:rFonts w:ascii="Arial" w:hAnsi="Arial" w:cs="Arial"/>
          <w:sz w:val="24"/>
          <w:szCs w:val="24"/>
        </w:rPr>
        <w:t xml:space="preserve">The boundary </w:t>
      </w:r>
      <w:r w:rsidR="000D33A9" w:rsidRPr="003B1198">
        <w:rPr>
          <w:rFonts w:ascii="Arial" w:hAnsi="Arial" w:cs="Arial"/>
          <w:sz w:val="24"/>
          <w:szCs w:val="24"/>
        </w:rPr>
        <w:t>of the inqu</w:t>
      </w:r>
      <w:r w:rsidR="00DB52E8" w:rsidRPr="003B1198">
        <w:rPr>
          <w:rFonts w:ascii="Arial" w:hAnsi="Arial" w:cs="Arial"/>
          <w:sz w:val="24"/>
          <w:szCs w:val="24"/>
        </w:rPr>
        <w:t xml:space="preserve">isitorial jurisdiction </w:t>
      </w:r>
      <w:r w:rsidR="00BC4D79" w:rsidRPr="003B1198">
        <w:rPr>
          <w:rFonts w:ascii="Arial" w:hAnsi="Arial" w:cs="Arial"/>
          <w:sz w:val="24"/>
          <w:szCs w:val="24"/>
        </w:rPr>
        <w:t>has sometimes been described as whether, when a point has not been taken by a party, it is “Robinson obvious” from the evidence that the point arose (</w:t>
      </w:r>
      <w:r w:rsidR="00BC4D79" w:rsidRPr="003B1198">
        <w:rPr>
          <w:rFonts w:ascii="Arial" w:hAnsi="Arial" w:cs="Arial"/>
          <w:i/>
          <w:iCs/>
          <w:sz w:val="24"/>
          <w:szCs w:val="24"/>
        </w:rPr>
        <w:t>following R v Secretary of State for the Home Department, ex p Robinson</w:t>
      </w:r>
      <w:r w:rsidR="00BC4D79" w:rsidRPr="003B1198">
        <w:rPr>
          <w:rFonts w:ascii="Arial" w:hAnsi="Arial" w:cs="Arial"/>
          <w:sz w:val="24"/>
          <w:szCs w:val="24"/>
        </w:rPr>
        <w:t xml:space="preserve"> [1997] 3 WLR 1162). </w:t>
      </w:r>
      <w:r w:rsidR="00150D70">
        <w:rPr>
          <w:rFonts w:ascii="Arial" w:hAnsi="Arial" w:cs="Arial"/>
          <w:sz w:val="24"/>
          <w:szCs w:val="24"/>
        </w:rPr>
        <w:t xml:space="preserve"> </w:t>
      </w:r>
      <w:r w:rsidR="00BC4D79" w:rsidRPr="003B1198">
        <w:rPr>
          <w:rFonts w:ascii="Arial" w:hAnsi="Arial" w:cs="Arial"/>
          <w:sz w:val="24"/>
          <w:szCs w:val="24"/>
        </w:rPr>
        <w:t xml:space="preserve">Another way of making the same point comes from cases such as </w:t>
      </w:r>
      <w:r w:rsidR="00BC4D79" w:rsidRPr="003B1198">
        <w:rPr>
          <w:rFonts w:ascii="Arial" w:hAnsi="Arial" w:cs="Arial"/>
          <w:i/>
          <w:iCs/>
          <w:sz w:val="24"/>
          <w:szCs w:val="24"/>
        </w:rPr>
        <w:t>Hooper v Secretary of State for Work &amp; Pensions</w:t>
      </w:r>
      <w:r w:rsidR="00BC4D79" w:rsidRPr="003B1198">
        <w:rPr>
          <w:rFonts w:ascii="Arial" w:hAnsi="Arial" w:cs="Arial"/>
          <w:sz w:val="24"/>
          <w:szCs w:val="24"/>
        </w:rPr>
        <w:t xml:space="preserve"> [2007] EWCA </w:t>
      </w:r>
      <w:proofErr w:type="spellStart"/>
      <w:r w:rsidR="00BC4D79" w:rsidRPr="003B1198">
        <w:rPr>
          <w:rFonts w:ascii="Arial" w:hAnsi="Arial" w:cs="Arial"/>
          <w:sz w:val="24"/>
          <w:szCs w:val="24"/>
        </w:rPr>
        <w:t>Civ</w:t>
      </w:r>
      <w:proofErr w:type="spellEnd"/>
      <w:r w:rsidR="00BC4D79" w:rsidRPr="003B1198">
        <w:rPr>
          <w:rFonts w:ascii="Arial" w:hAnsi="Arial" w:cs="Arial"/>
          <w:sz w:val="24"/>
          <w:szCs w:val="24"/>
        </w:rPr>
        <w:t xml:space="preserve"> 49 and </w:t>
      </w:r>
      <w:r w:rsidR="00BC4D79" w:rsidRPr="003B1198">
        <w:rPr>
          <w:rFonts w:ascii="Arial" w:hAnsi="Arial" w:cs="Arial"/>
          <w:i/>
          <w:iCs/>
          <w:sz w:val="24"/>
          <w:szCs w:val="24"/>
        </w:rPr>
        <w:t>Mongan v Department of Social Development</w:t>
      </w:r>
      <w:r w:rsidR="00BC4D79" w:rsidRPr="003B1198">
        <w:rPr>
          <w:rFonts w:ascii="Arial" w:hAnsi="Arial" w:cs="Arial"/>
          <w:sz w:val="24"/>
          <w:szCs w:val="24"/>
        </w:rPr>
        <w:t xml:space="preserve"> [2005] NICA 16. </w:t>
      </w:r>
      <w:r w:rsidR="00150D70">
        <w:rPr>
          <w:rFonts w:ascii="Arial" w:hAnsi="Arial" w:cs="Arial"/>
          <w:sz w:val="24"/>
          <w:szCs w:val="24"/>
        </w:rPr>
        <w:t xml:space="preserve"> </w:t>
      </w:r>
      <w:r w:rsidR="00BC4D79" w:rsidRPr="003B1198">
        <w:rPr>
          <w:rFonts w:ascii="Arial" w:hAnsi="Arial" w:cs="Arial"/>
          <w:sz w:val="24"/>
          <w:szCs w:val="24"/>
        </w:rPr>
        <w:t>The</w:t>
      </w:r>
      <w:r w:rsidR="00E025BB" w:rsidRPr="003B1198">
        <w:rPr>
          <w:rFonts w:ascii="Arial" w:hAnsi="Arial" w:cs="Arial"/>
          <w:sz w:val="24"/>
          <w:szCs w:val="24"/>
        </w:rPr>
        <w:t xml:space="preserve"> </w:t>
      </w:r>
      <w:r w:rsidR="00BC4D79" w:rsidRPr="003B1198">
        <w:rPr>
          <w:rFonts w:ascii="Arial" w:hAnsi="Arial" w:cs="Arial"/>
          <w:sz w:val="24"/>
          <w:szCs w:val="24"/>
        </w:rPr>
        <w:t xml:space="preserve">net result of those two Court of Appeal decisions is that, although the First-tier Tribunal is not required "to exhaustively trawl the evidence to see if there is any remote possibility of an issue being raised by it." (per </w:t>
      </w:r>
      <w:r w:rsidR="00BC4D79" w:rsidRPr="003B1198">
        <w:rPr>
          <w:rFonts w:ascii="Arial" w:hAnsi="Arial" w:cs="Arial"/>
          <w:i/>
          <w:iCs/>
          <w:sz w:val="24"/>
          <w:szCs w:val="24"/>
        </w:rPr>
        <w:t>Mongan</w:t>
      </w:r>
      <w:r w:rsidR="00BC4D79" w:rsidRPr="003B1198">
        <w:rPr>
          <w:rFonts w:ascii="Arial" w:hAnsi="Arial" w:cs="Arial"/>
          <w:sz w:val="24"/>
          <w:szCs w:val="24"/>
        </w:rPr>
        <w:t>), issues "clearly apparent from the evidence" must be considered</w:t>
      </w:r>
      <w:r w:rsidR="000D33A9" w:rsidRPr="003B1198">
        <w:rPr>
          <w:rFonts w:ascii="Arial" w:hAnsi="Arial" w:cs="Arial"/>
          <w:sz w:val="24"/>
          <w:szCs w:val="24"/>
        </w:rPr>
        <w:t>.</w:t>
      </w:r>
    </w:p>
    <w:p w14:paraId="6D010020" w14:textId="77777777" w:rsidR="004316BC" w:rsidRPr="003B1198" w:rsidRDefault="004316BC" w:rsidP="00150D70">
      <w:pPr>
        <w:tabs>
          <w:tab w:val="left" w:pos="510"/>
          <w:tab w:val="left" w:pos="1077"/>
          <w:tab w:val="left" w:pos="1797"/>
        </w:tabs>
        <w:spacing w:after="0" w:line="240" w:lineRule="auto"/>
        <w:ind w:left="510" w:hanging="510"/>
        <w:jc w:val="both"/>
        <w:rPr>
          <w:rFonts w:ascii="Arial" w:hAnsi="Arial" w:cs="Arial"/>
          <w:sz w:val="24"/>
          <w:szCs w:val="24"/>
        </w:rPr>
      </w:pPr>
    </w:p>
    <w:p w14:paraId="5A6EC874" w14:textId="2ECE0185" w:rsidR="001B1F37" w:rsidRPr="003B1198" w:rsidRDefault="00150D70" w:rsidP="00150D7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16.</w:t>
      </w:r>
      <w:r>
        <w:rPr>
          <w:rFonts w:ascii="Arial" w:hAnsi="Arial" w:cs="Arial"/>
          <w:sz w:val="24"/>
          <w:szCs w:val="24"/>
        </w:rPr>
        <w:tab/>
      </w:r>
      <w:r w:rsidR="001F412C" w:rsidRPr="003B1198">
        <w:rPr>
          <w:rFonts w:ascii="Arial" w:hAnsi="Arial" w:cs="Arial"/>
          <w:sz w:val="24"/>
          <w:szCs w:val="24"/>
        </w:rPr>
        <w:t>As to the second point, Ms Toner does support the appeal</w:t>
      </w:r>
      <w:r w:rsidR="007D35F0" w:rsidRPr="003B1198">
        <w:rPr>
          <w:rFonts w:ascii="Arial" w:hAnsi="Arial" w:cs="Arial"/>
          <w:sz w:val="24"/>
          <w:szCs w:val="24"/>
        </w:rPr>
        <w:t>.</w:t>
      </w:r>
      <w:r w:rsidR="00F13214" w:rsidRPr="003B1198">
        <w:rPr>
          <w:rFonts w:ascii="Arial" w:hAnsi="Arial" w:cs="Arial"/>
          <w:sz w:val="24"/>
          <w:szCs w:val="24"/>
        </w:rPr>
        <w:t xml:space="preserve">  Much </w:t>
      </w:r>
      <w:r w:rsidR="0069049F" w:rsidRPr="003B1198">
        <w:rPr>
          <w:rFonts w:ascii="Arial" w:hAnsi="Arial" w:cs="Arial"/>
          <w:sz w:val="24"/>
          <w:szCs w:val="24"/>
        </w:rPr>
        <w:t>o</w:t>
      </w:r>
      <w:r w:rsidR="00F13214" w:rsidRPr="003B1198">
        <w:rPr>
          <w:rFonts w:ascii="Arial" w:hAnsi="Arial" w:cs="Arial"/>
          <w:sz w:val="24"/>
          <w:szCs w:val="24"/>
        </w:rPr>
        <w:t>f her support is predicate</w:t>
      </w:r>
      <w:r w:rsidR="0069049F" w:rsidRPr="003B1198">
        <w:rPr>
          <w:rFonts w:ascii="Arial" w:hAnsi="Arial" w:cs="Arial"/>
          <w:sz w:val="24"/>
          <w:szCs w:val="24"/>
        </w:rPr>
        <w:t xml:space="preserve">d </w:t>
      </w:r>
      <w:r w:rsidR="00F13214" w:rsidRPr="003B1198">
        <w:rPr>
          <w:rFonts w:ascii="Arial" w:hAnsi="Arial" w:cs="Arial"/>
          <w:sz w:val="24"/>
          <w:szCs w:val="24"/>
        </w:rPr>
        <w:t>on there not having</w:t>
      </w:r>
      <w:r w:rsidR="000D5DC1" w:rsidRPr="003B1198">
        <w:rPr>
          <w:rFonts w:ascii="Arial" w:hAnsi="Arial" w:cs="Arial"/>
          <w:sz w:val="24"/>
          <w:szCs w:val="24"/>
        </w:rPr>
        <w:t xml:space="preserve"> been evidence </w:t>
      </w:r>
      <w:r w:rsidR="002444F9" w:rsidRPr="003B1198">
        <w:rPr>
          <w:rFonts w:ascii="Arial" w:hAnsi="Arial" w:cs="Arial"/>
          <w:sz w:val="24"/>
          <w:szCs w:val="24"/>
        </w:rPr>
        <w:t>before the</w:t>
      </w:r>
      <w:r w:rsidR="000D5DC1" w:rsidRPr="003B1198">
        <w:rPr>
          <w:rFonts w:ascii="Arial" w:hAnsi="Arial" w:cs="Arial"/>
          <w:sz w:val="24"/>
          <w:szCs w:val="24"/>
        </w:rPr>
        <w:t xml:space="preserve"> </w:t>
      </w:r>
      <w:r w:rsidR="007330D8" w:rsidRPr="003B1198">
        <w:rPr>
          <w:rFonts w:ascii="Arial" w:hAnsi="Arial" w:cs="Arial"/>
          <w:sz w:val="24"/>
          <w:szCs w:val="24"/>
        </w:rPr>
        <w:t>tribunal</w:t>
      </w:r>
      <w:r w:rsidR="000D5DC1" w:rsidRPr="003B1198">
        <w:rPr>
          <w:rFonts w:ascii="Arial" w:hAnsi="Arial" w:cs="Arial"/>
          <w:sz w:val="24"/>
          <w:szCs w:val="24"/>
        </w:rPr>
        <w:t xml:space="preserve"> of types o</w:t>
      </w:r>
      <w:r w:rsidR="0069049F" w:rsidRPr="003B1198">
        <w:rPr>
          <w:rFonts w:ascii="Arial" w:hAnsi="Arial" w:cs="Arial"/>
          <w:sz w:val="24"/>
          <w:szCs w:val="24"/>
        </w:rPr>
        <w:t>f</w:t>
      </w:r>
      <w:r w:rsidR="000D5DC1" w:rsidRPr="003B1198">
        <w:rPr>
          <w:rFonts w:ascii="Arial" w:hAnsi="Arial" w:cs="Arial"/>
          <w:sz w:val="24"/>
          <w:szCs w:val="24"/>
        </w:rPr>
        <w:t xml:space="preserve"> work-related activity available in the </w:t>
      </w:r>
      <w:r w:rsidR="002C5F0D" w:rsidRPr="003B1198">
        <w:rPr>
          <w:rFonts w:ascii="Arial" w:hAnsi="Arial" w:cs="Arial"/>
          <w:sz w:val="24"/>
          <w:szCs w:val="24"/>
        </w:rPr>
        <w:t>a</w:t>
      </w:r>
      <w:r w:rsidR="002444F9" w:rsidRPr="003B1198">
        <w:rPr>
          <w:rFonts w:ascii="Arial" w:hAnsi="Arial" w:cs="Arial"/>
          <w:sz w:val="24"/>
          <w:szCs w:val="24"/>
        </w:rPr>
        <w:t>ppellant’s</w:t>
      </w:r>
      <w:r w:rsidR="000D5DC1" w:rsidRPr="003B1198">
        <w:rPr>
          <w:rFonts w:ascii="Arial" w:hAnsi="Arial" w:cs="Arial"/>
          <w:sz w:val="24"/>
          <w:szCs w:val="24"/>
        </w:rPr>
        <w:t xml:space="preserve"> local area</w:t>
      </w:r>
      <w:r w:rsidR="00043989" w:rsidRPr="003B1198">
        <w:rPr>
          <w:rFonts w:ascii="Arial" w:hAnsi="Arial" w:cs="Arial"/>
          <w:sz w:val="24"/>
          <w:szCs w:val="24"/>
        </w:rPr>
        <w:t>.</w:t>
      </w:r>
      <w:r w:rsidR="00DD05B7" w:rsidRPr="003B1198">
        <w:rPr>
          <w:rFonts w:ascii="Arial" w:hAnsi="Arial" w:cs="Arial"/>
          <w:sz w:val="24"/>
          <w:szCs w:val="24"/>
        </w:rPr>
        <w:t xml:space="preserve">  However, </w:t>
      </w:r>
      <w:r w:rsidR="009715DA" w:rsidRPr="003B1198">
        <w:rPr>
          <w:rFonts w:ascii="Arial" w:hAnsi="Arial" w:cs="Arial"/>
          <w:sz w:val="24"/>
          <w:szCs w:val="24"/>
        </w:rPr>
        <w:t xml:space="preserve">she does </w:t>
      </w:r>
      <w:r w:rsidR="00C95AA6" w:rsidRPr="003B1198">
        <w:rPr>
          <w:rFonts w:ascii="Arial" w:hAnsi="Arial" w:cs="Arial"/>
          <w:sz w:val="24"/>
          <w:szCs w:val="24"/>
        </w:rPr>
        <w:t xml:space="preserve">also </w:t>
      </w:r>
      <w:r w:rsidR="009715DA" w:rsidRPr="003B1198">
        <w:rPr>
          <w:rFonts w:ascii="Arial" w:hAnsi="Arial" w:cs="Arial"/>
          <w:sz w:val="24"/>
          <w:szCs w:val="24"/>
        </w:rPr>
        <w:t>submit that</w:t>
      </w:r>
      <w:r w:rsidR="004316BC" w:rsidRPr="003B1198">
        <w:rPr>
          <w:rFonts w:ascii="Arial" w:hAnsi="Arial" w:cs="Arial"/>
          <w:sz w:val="24"/>
          <w:szCs w:val="24"/>
        </w:rPr>
        <w:t>:</w:t>
      </w:r>
    </w:p>
    <w:p w14:paraId="670CFBA8" w14:textId="77777777" w:rsidR="004316BC" w:rsidRPr="003B1198" w:rsidRDefault="004316BC" w:rsidP="006A5C2C">
      <w:pPr>
        <w:tabs>
          <w:tab w:val="left" w:pos="510"/>
          <w:tab w:val="left" w:pos="1077"/>
          <w:tab w:val="left" w:pos="1797"/>
        </w:tabs>
        <w:spacing w:after="0" w:line="240" w:lineRule="auto"/>
        <w:rPr>
          <w:rFonts w:ascii="Arial" w:hAnsi="Arial" w:cs="Arial"/>
          <w:sz w:val="24"/>
          <w:szCs w:val="24"/>
        </w:rPr>
      </w:pPr>
    </w:p>
    <w:p w14:paraId="781F3CFC" w14:textId="301D1366" w:rsidR="001B1F37" w:rsidRPr="003B1198" w:rsidRDefault="009715DA" w:rsidP="00150D70">
      <w:pPr>
        <w:tabs>
          <w:tab w:val="left" w:pos="510"/>
          <w:tab w:val="left" w:pos="1077"/>
          <w:tab w:val="left" w:pos="1797"/>
        </w:tabs>
        <w:spacing w:after="0" w:line="240" w:lineRule="auto"/>
        <w:ind w:left="1077" w:right="1077"/>
        <w:jc w:val="both"/>
        <w:rPr>
          <w:rFonts w:ascii="Arial" w:hAnsi="Arial" w:cs="Arial"/>
          <w:sz w:val="24"/>
          <w:szCs w:val="24"/>
        </w:rPr>
      </w:pPr>
      <w:r w:rsidRPr="003B1198">
        <w:rPr>
          <w:rFonts w:ascii="Arial" w:hAnsi="Arial" w:cs="Arial"/>
          <w:sz w:val="24"/>
          <w:szCs w:val="24"/>
        </w:rPr>
        <w:t>“</w:t>
      </w:r>
      <w:proofErr w:type="gramStart"/>
      <w:r w:rsidRPr="003B1198">
        <w:rPr>
          <w:rFonts w:ascii="Arial" w:hAnsi="Arial" w:cs="Arial"/>
          <w:sz w:val="24"/>
          <w:szCs w:val="24"/>
        </w:rPr>
        <w:t>the</w:t>
      </w:r>
      <w:proofErr w:type="gramEnd"/>
      <w:r w:rsidRPr="003B1198">
        <w:rPr>
          <w:rFonts w:ascii="Arial" w:hAnsi="Arial" w:cs="Arial"/>
          <w:sz w:val="24"/>
          <w:szCs w:val="24"/>
        </w:rPr>
        <w:t xml:space="preserve"> tribunal has </w:t>
      </w:r>
      <w:r w:rsidR="002444F9" w:rsidRPr="003B1198">
        <w:rPr>
          <w:rFonts w:ascii="Arial" w:hAnsi="Arial" w:cs="Arial"/>
          <w:sz w:val="24"/>
          <w:szCs w:val="24"/>
        </w:rPr>
        <w:t>acknowledge</w:t>
      </w:r>
      <w:r w:rsidR="006472DF" w:rsidRPr="003B1198">
        <w:rPr>
          <w:rFonts w:ascii="Arial" w:hAnsi="Arial" w:cs="Arial"/>
          <w:sz w:val="24"/>
          <w:szCs w:val="24"/>
        </w:rPr>
        <w:t>d</w:t>
      </w:r>
      <w:r w:rsidRPr="003B1198">
        <w:rPr>
          <w:rFonts w:ascii="Arial" w:hAnsi="Arial" w:cs="Arial"/>
          <w:sz w:val="24"/>
          <w:szCs w:val="24"/>
        </w:rPr>
        <w:t xml:space="preserve"> </w:t>
      </w:r>
      <w:r w:rsidR="007330D8" w:rsidRPr="003B1198">
        <w:rPr>
          <w:rFonts w:ascii="Arial" w:hAnsi="Arial" w:cs="Arial"/>
          <w:sz w:val="24"/>
          <w:szCs w:val="24"/>
        </w:rPr>
        <w:t>that</w:t>
      </w:r>
      <w:r w:rsidRPr="003B1198">
        <w:rPr>
          <w:rFonts w:ascii="Arial" w:hAnsi="Arial" w:cs="Arial"/>
          <w:sz w:val="24"/>
          <w:szCs w:val="24"/>
        </w:rPr>
        <w:t xml:space="preserve"> [the </w:t>
      </w:r>
      <w:r w:rsidR="006472DF" w:rsidRPr="003B1198">
        <w:rPr>
          <w:rFonts w:ascii="Arial" w:hAnsi="Arial" w:cs="Arial"/>
          <w:sz w:val="24"/>
          <w:szCs w:val="24"/>
        </w:rPr>
        <w:t>A</w:t>
      </w:r>
      <w:r w:rsidRPr="003B1198">
        <w:rPr>
          <w:rFonts w:ascii="Arial" w:hAnsi="Arial" w:cs="Arial"/>
          <w:sz w:val="24"/>
          <w:szCs w:val="24"/>
        </w:rPr>
        <w:t xml:space="preserve">ppellant] had </w:t>
      </w:r>
      <w:r w:rsidR="00B84D82" w:rsidRPr="003B1198">
        <w:rPr>
          <w:rFonts w:ascii="Arial" w:hAnsi="Arial" w:cs="Arial"/>
          <w:sz w:val="24"/>
          <w:szCs w:val="24"/>
        </w:rPr>
        <w:t>atria</w:t>
      </w:r>
      <w:r w:rsidR="006472DF" w:rsidRPr="003B1198">
        <w:rPr>
          <w:rFonts w:ascii="Arial" w:hAnsi="Arial" w:cs="Arial"/>
          <w:sz w:val="24"/>
          <w:szCs w:val="24"/>
        </w:rPr>
        <w:t>l</w:t>
      </w:r>
      <w:r w:rsidR="00B84D82" w:rsidRPr="003B1198">
        <w:rPr>
          <w:rFonts w:ascii="Arial" w:hAnsi="Arial" w:cs="Arial"/>
          <w:sz w:val="24"/>
          <w:szCs w:val="24"/>
        </w:rPr>
        <w:t xml:space="preserve"> </w:t>
      </w:r>
      <w:r w:rsidR="002444F9" w:rsidRPr="003B1198">
        <w:rPr>
          <w:rFonts w:ascii="Arial" w:hAnsi="Arial" w:cs="Arial"/>
          <w:sz w:val="24"/>
          <w:szCs w:val="24"/>
        </w:rPr>
        <w:t>fibrillation</w:t>
      </w:r>
      <w:r w:rsidR="00B84D82" w:rsidRPr="003B1198">
        <w:rPr>
          <w:rFonts w:ascii="Arial" w:hAnsi="Arial" w:cs="Arial"/>
          <w:sz w:val="24"/>
          <w:szCs w:val="24"/>
        </w:rPr>
        <w:t xml:space="preserve"> and could become tired and drowsy</w:t>
      </w:r>
      <w:r w:rsidR="00537449" w:rsidRPr="003B1198">
        <w:rPr>
          <w:rFonts w:ascii="Arial" w:hAnsi="Arial" w:cs="Arial"/>
          <w:sz w:val="24"/>
          <w:szCs w:val="24"/>
        </w:rPr>
        <w:t xml:space="preserve"> however, it is </w:t>
      </w:r>
      <w:r w:rsidR="002444F9" w:rsidRPr="003B1198">
        <w:rPr>
          <w:rFonts w:ascii="Arial" w:hAnsi="Arial" w:cs="Arial"/>
          <w:sz w:val="24"/>
          <w:szCs w:val="24"/>
        </w:rPr>
        <w:t>not</w:t>
      </w:r>
      <w:r w:rsidR="00537449" w:rsidRPr="003B1198">
        <w:rPr>
          <w:rFonts w:ascii="Arial" w:hAnsi="Arial" w:cs="Arial"/>
          <w:sz w:val="24"/>
          <w:szCs w:val="24"/>
        </w:rPr>
        <w:t xml:space="preserve"> clear </w:t>
      </w:r>
      <w:r w:rsidR="007330D8" w:rsidRPr="003B1198">
        <w:rPr>
          <w:rFonts w:ascii="Arial" w:hAnsi="Arial" w:cs="Arial"/>
          <w:sz w:val="24"/>
          <w:szCs w:val="24"/>
        </w:rPr>
        <w:t>i</w:t>
      </w:r>
      <w:r w:rsidR="00537449" w:rsidRPr="003B1198">
        <w:rPr>
          <w:rFonts w:ascii="Arial" w:hAnsi="Arial" w:cs="Arial"/>
          <w:sz w:val="24"/>
          <w:szCs w:val="24"/>
        </w:rPr>
        <w:t>f</w:t>
      </w:r>
      <w:r w:rsidR="007330D8" w:rsidRPr="003B1198">
        <w:rPr>
          <w:rFonts w:ascii="Arial" w:hAnsi="Arial" w:cs="Arial"/>
          <w:sz w:val="24"/>
          <w:szCs w:val="24"/>
        </w:rPr>
        <w:t xml:space="preserve"> the</w:t>
      </w:r>
      <w:r w:rsidR="00537449" w:rsidRPr="003B1198">
        <w:rPr>
          <w:rFonts w:ascii="Arial" w:hAnsi="Arial" w:cs="Arial"/>
          <w:sz w:val="24"/>
          <w:szCs w:val="24"/>
        </w:rPr>
        <w:t xml:space="preserve"> </w:t>
      </w:r>
      <w:r w:rsidR="00567D58" w:rsidRPr="003B1198">
        <w:rPr>
          <w:rFonts w:ascii="Arial" w:hAnsi="Arial" w:cs="Arial"/>
          <w:sz w:val="24"/>
          <w:szCs w:val="24"/>
        </w:rPr>
        <w:t>Tribunal</w:t>
      </w:r>
      <w:r w:rsidR="00537449" w:rsidRPr="003B1198">
        <w:rPr>
          <w:rFonts w:ascii="Arial" w:hAnsi="Arial" w:cs="Arial"/>
          <w:sz w:val="24"/>
          <w:szCs w:val="24"/>
        </w:rPr>
        <w:t xml:space="preserve"> sufficiently explored how </w:t>
      </w:r>
      <w:r w:rsidR="00052FDC" w:rsidRPr="003B1198">
        <w:rPr>
          <w:rFonts w:ascii="Arial" w:hAnsi="Arial" w:cs="Arial"/>
          <w:sz w:val="24"/>
          <w:szCs w:val="24"/>
        </w:rPr>
        <w:t xml:space="preserve">these health </w:t>
      </w:r>
      <w:r w:rsidR="00177F95" w:rsidRPr="003B1198">
        <w:rPr>
          <w:rFonts w:ascii="Arial" w:hAnsi="Arial" w:cs="Arial"/>
          <w:sz w:val="24"/>
          <w:szCs w:val="24"/>
        </w:rPr>
        <w:t>issues</w:t>
      </w:r>
      <w:r w:rsidR="00052FDC" w:rsidRPr="003B1198">
        <w:rPr>
          <w:rFonts w:ascii="Arial" w:hAnsi="Arial" w:cs="Arial"/>
          <w:sz w:val="24"/>
          <w:szCs w:val="24"/>
        </w:rPr>
        <w:t xml:space="preserve"> affect [the </w:t>
      </w:r>
      <w:r w:rsidR="007330D8" w:rsidRPr="003B1198">
        <w:rPr>
          <w:rFonts w:ascii="Arial" w:hAnsi="Arial" w:cs="Arial"/>
          <w:sz w:val="24"/>
          <w:szCs w:val="24"/>
        </w:rPr>
        <w:t>Appellant</w:t>
      </w:r>
      <w:r w:rsidR="00052FDC" w:rsidRPr="003B1198">
        <w:rPr>
          <w:rFonts w:ascii="Arial" w:hAnsi="Arial" w:cs="Arial"/>
          <w:sz w:val="24"/>
          <w:szCs w:val="24"/>
        </w:rPr>
        <w:t xml:space="preserve">] in </w:t>
      </w:r>
      <w:r w:rsidR="00177F95" w:rsidRPr="003B1198">
        <w:rPr>
          <w:rFonts w:ascii="Arial" w:hAnsi="Arial" w:cs="Arial"/>
          <w:sz w:val="24"/>
          <w:szCs w:val="24"/>
        </w:rPr>
        <w:t>order</w:t>
      </w:r>
      <w:r w:rsidR="00052FDC" w:rsidRPr="003B1198">
        <w:rPr>
          <w:rFonts w:ascii="Arial" w:hAnsi="Arial" w:cs="Arial"/>
          <w:sz w:val="24"/>
          <w:szCs w:val="24"/>
        </w:rPr>
        <w:t xml:space="preserve"> t</w:t>
      </w:r>
      <w:r w:rsidR="006472DF" w:rsidRPr="003B1198">
        <w:rPr>
          <w:rFonts w:ascii="Arial" w:hAnsi="Arial" w:cs="Arial"/>
          <w:sz w:val="24"/>
          <w:szCs w:val="24"/>
        </w:rPr>
        <w:t>o</w:t>
      </w:r>
      <w:r w:rsidR="00052FDC" w:rsidRPr="003B1198">
        <w:rPr>
          <w:rFonts w:ascii="Arial" w:hAnsi="Arial" w:cs="Arial"/>
          <w:sz w:val="24"/>
          <w:szCs w:val="24"/>
        </w:rPr>
        <w:t xml:space="preserve"> determine what work he was capable o</w:t>
      </w:r>
      <w:r w:rsidR="006472DF" w:rsidRPr="003B1198">
        <w:rPr>
          <w:rFonts w:ascii="Arial" w:hAnsi="Arial" w:cs="Arial"/>
          <w:sz w:val="24"/>
          <w:szCs w:val="24"/>
        </w:rPr>
        <w:t>f</w:t>
      </w:r>
      <w:r w:rsidR="00052FDC" w:rsidRPr="003B1198">
        <w:rPr>
          <w:rFonts w:ascii="Arial" w:hAnsi="Arial" w:cs="Arial"/>
          <w:sz w:val="24"/>
          <w:szCs w:val="24"/>
        </w:rPr>
        <w:t xml:space="preserve"> completing without a substantial </w:t>
      </w:r>
      <w:r w:rsidR="00177F95" w:rsidRPr="003B1198">
        <w:rPr>
          <w:rFonts w:ascii="Arial" w:hAnsi="Arial" w:cs="Arial"/>
          <w:sz w:val="24"/>
          <w:szCs w:val="24"/>
        </w:rPr>
        <w:t>risk</w:t>
      </w:r>
      <w:r w:rsidR="00052FDC" w:rsidRPr="003B1198">
        <w:rPr>
          <w:rFonts w:ascii="Arial" w:hAnsi="Arial" w:cs="Arial"/>
          <w:sz w:val="24"/>
          <w:szCs w:val="24"/>
        </w:rPr>
        <w:t xml:space="preserve"> to him or others</w:t>
      </w:r>
      <w:r w:rsidR="00001C76" w:rsidRPr="003B1198">
        <w:rPr>
          <w:rFonts w:ascii="Arial" w:hAnsi="Arial" w:cs="Arial"/>
          <w:sz w:val="24"/>
          <w:szCs w:val="24"/>
        </w:rPr>
        <w:t>.”</w:t>
      </w:r>
    </w:p>
    <w:p w14:paraId="61739165" w14:textId="77777777" w:rsidR="004316BC" w:rsidRPr="003B1198" w:rsidRDefault="004316BC" w:rsidP="006A5C2C">
      <w:pPr>
        <w:tabs>
          <w:tab w:val="left" w:pos="510"/>
          <w:tab w:val="left" w:pos="1077"/>
          <w:tab w:val="left" w:pos="1797"/>
        </w:tabs>
        <w:spacing w:after="0" w:line="240" w:lineRule="auto"/>
        <w:rPr>
          <w:rFonts w:ascii="Arial" w:hAnsi="Arial" w:cs="Arial"/>
          <w:sz w:val="24"/>
          <w:szCs w:val="24"/>
        </w:rPr>
      </w:pPr>
    </w:p>
    <w:p w14:paraId="299DC7A7" w14:textId="782B59E6" w:rsidR="004316BC" w:rsidRPr="003B1198" w:rsidRDefault="00150D70" w:rsidP="00D224F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17.</w:t>
      </w:r>
      <w:r>
        <w:rPr>
          <w:rFonts w:ascii="Arial" w:hAnsi="Arial" w:cs="Arial"/>
          <w:sz w:val="24"/>
          <w:szCs w:val="24"/>
        </w:rPr>
        <w:tab/>
      </w:r>
      <w:r w:rsidR="00F86259" w:rsidRPr="003B1198">
        <w:rPr>
          <w:rFonts w:ascii="Arial" w:hAnsi="Arial" w:cs="Arial"/>
          <w:sz w:val="24"/>
          <w:szCs w:val="24"/>
        </w:rPr>
        <w:t xml:space="preserve">There are one or two places </w:t>
      </w:r>
      <w:r w:rsidR="00177F95" w:rsidRPr="003B1198">
        <w:rPr>
          <w:rFonts w:ascii="Arial" w:hAnsi="Arial" w:cs="Arial"/>
          <w:sz w:val="24"/>
          <w:szCs w:val="24"/>
        </w:rPr>
        <w:t>where</w:t>
      </w:r>
      <w:r w:rsidR="00F86259" w:rsidRPr="003B1198">
        <w:rPr>
          <w:rFonts w:ascii="Arial" w:hAnsi="Arial" w:cs="Arial"/>
          <w:sz w:val="24"/>
          <w:szCs w:val="24"/>
        </w:rPr>
        <w:t xml:space="preserve"> I find </w:t>
      </w:r>
      <w:r w:rsidR="001B1F37" w:rsidRPr="003B1198">
        <w:rPr>
          <w:rFonts w:ascii="Arial" w:hAnsi="Arial" w:cs="Arial"/>
          <w:sz w:val="24"/>
          <w:szCs w:val="24"/>
        </w:rPr>
        <w:t xml:space="preserve">other parts of </w:t>
      </w:r>
      <w:r w:rsidR="00F86259" w:rsidRPr="003B1198">
        <w:rPr>
          <w:rFonts w:ascii="Arial" w:hAnsi="Arial" w:cs="Arial"/>
          <w:sz w:val="24"/>
          <w:szCs w:val="24"/>
        </w:rPr>
        <w:t>Ms T</w:t>
      </w:r>
      <w:r w:rsidR="00C43F3D" w:rsidRPr="003B1198">
        <w:rPr>
          <w:rFonts w:ascii="Arial" w:hAnsi="Arial" w:cs="Arial"/>
          <w:sz w:val="24"/>
          <w:szCs w:val="24"/>
        </w:rPr>
        <w:t xml:space="preserve">oner’s submission hard to follow, but what I have quoted above is about </w:t>
      </w:r>
      <w:r w:rsidR="00177F95" w:rsidRPr="003B1198">
        <w:rPr>
          <w:rFonts w:ascii="Arial" w:hAnsi="Arial" w:cs="Arial"/>
          <w:sz w:val="24"/>
          <w:szCs w:val="24"/>
        </w:rPr>
        <w:t>work, not</w:t>
      </w:r>
      <w:r w:rsidR="00C43F3D" w:rsidRPr="003B1198">
        <w:rPr>
          <w:rFonts w:ascii="Arial" w:hAnsi="Arial" w:cs="Arial"/>
          <w:sz w:val="24"/>
          <w:szCs w:val="24"/>
        </w:rPr>
        <w:t xml:space="preserve"> work-</w:t>
      </w:r>
      <w:r w:rsidR="007330D8" w:rsidRPr="003B1198">
        <w:rPr>
          <w:rFonts w:ascii="Arial" w:hAnsi="Arial" w:cs="Arial"/>
          <w:sz w:val="24"/>
          <w:szCs w:val="24"/>
        </w:rPr>
        <w:t>related</w:t>
      </w:r>
      <w:r w:rsidR="00C43F3D" w:rsidRPr="003B1198">
        <w:rPr>
          <w:rFonts w:ascii="Arial" w:hAnsi="Arial" w:cs="Arial"/>
          <w:sz w:val="24"/>
          <w:szCs w:val="24"/>
        </w:rPr>
        <w:t xml:space="preserve"> activity</w:t>
      </w:r>
      <w:r w:rsidR="001B1F37" w:rsidRPr="003B1198">
        <w:rPr>
          <w:rFonts w:ascii="Arial" w:hAnsi="Arial" w:cs="Arial"/>
          <w:sz w:val="24"/>
          <w:szCs w:val="24"/>
        </w:rPr>
        <w:t>,</w:t>
      </w:r>
      <w:r w:rsidR="005654B8" w:rsidRPr="003B1198">
        <w:rPr>
          <w:rFonts w:ascii="Arial" w:hAnsi="Arial" w:cs="Arial"/>
          <w:sz w:val="24"/>
          <w:szCs w:val="24"/>
        </w:rPr>
        <w:t xml:space="preserve"> and </w:t>
      </w:r>
      <w:r w:rsidR="00177F95" w:rsidRPr="003B1198">
        <w:rPr>
          <w:rFonts w:ascii="Arial" w:hAnsi="Arial" w:cs="Arial"/>
          <w:sz w:val="24"/>
          <w:szCs w:val="24"/>
        </w:rPr>
        <w:t>accordingly</w:t>
      </w:r>
      <w:r w:rsidR="005654B8" w:rsidRPr="003B1198">
        <w:rPr>
          <w:rFonts w:ascii="Arial" w:hAnsi="Arial" w:cs="Arial"/>
          <w:sz w:val="24"/>
          <w:szCs w:val="24"/>
        </w:rPr>
        <w:t xml:space="preserve"> I take it as supporting the appeal on the second point.</w:t>
      </w:r>
    </w:p>
    <w:p w14:paraId="25012417" w14:textId="77777777" w:rsidR="004316BC" w:rsidRPr="003B1198" w:rsidRDefault="004316BC" w:rsidP="00D224F0">
      <w:pPr>
        <w:tabs>
          <w:tab w:val="left" w:pos="510"/>
          <w:tab w:val="left" w:pos="1077"/>
          <w:tab w:val="left" w:pos="1797"/>
        </w:tabs>
        <w:spacing w:after="0" w:line="240" w:lineRule="auto"/>
        <w:ind w:left="510" w:hanging="510"/>
        <w:jc w:val="both"/>
        <w:rPr>
          <w:rFonts w:ascii="Arial" w:hAnsi="Arial" w:cs="Arial"/>
          <w:sz w:val="24"/>
          <w:szCs w:val="24"/>
        </w:rPr>
      </w:pPr>
    </w:p>
    <w:p w14:paraId="37D258B4" w14:textId="1648AFA9" w:rsidR="004316BC" w:rsidRPr="003B1198" w:rsidRDefault="00D224F0" w:rsidP="00D224F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18.</w:t>
      </w:r>
      <w:r>
        <w:rPr>
          <w:rFonts w:ascii="Arial" w:hAnsi="Arial" w:cs="Arial"/>
          <w:sz w:val="24"/>
          <w:szCs w:val="24"/>
        </w:rPr>
        <w:tab/>
      </w:r>
      <w:r w:rsidR="00271A81" w:rsidRPr="003B1198">
        <w:rPr>
          <w:rFonts w:ascii="Arial" w:hAnsi="Arial" w:cs="Arial"/>
          <w:sz w:val="24"/>
          <w:szCs w:val="24"/>
        </w:rPr>
        <w:t xml:space="preserve">Even were the appeal not to be supported by the </w:t>
      </w:r>
      <w:r w:rsidR="00177F95" w:rsidRPr="003B1198">
        <w:rPr>
          <w:rFonts w:ascii="Arial" w:hAnsi="Arial" w:cs="Arial"/>
          <w:sz w:val="24"/>
          <w:szCs w:val="24"/>
        </w:rPr>
        <w:t>Department</w:t>
      </w:r>
      <w:r w:rsidR="00271A81" w:rsidRPr="003B1198">
        <w:rPr>
          <w:rFonts w:ascii="Arial" w:hAnsi="Arial" w:cs="Arial"/>
          <w:sz w:val="24"/>
          <w:szCs w:val="24"/>
        </w:rPr>
        <w:t>, I would allow it on the second point also.</w:t>
      </w:r>
      <w:r w:rsidR="00560A59" w:rsidRPr="003B1198">
        <w:rPr>
          <w:rFonts w:ascii="Arial" w:hAnsi="Arial" w:cs="Arial"/>
          <w:sz w:val="24"/>
          <w:szCs w:val="24"/>
        </w:rPr>
        <w:t xml:space="preserve">  I</w:t>
      </w:r>
      <w:r w:rsidR="001B1F37" w:rsidRPr="003B1198">
        <w:rPr>
          <w:rFonts w:ascii="Arial" w:hAnsi="Arial" w:cs="Arial"/>
          <w:sz w:val="24"/>
          <w:szCs w:val="24"/>
        </w:rPr>
        <w:t>t</w:t>
      </w:r>
      <w:r w:rsidR="00560A59" w:rsidRPr="003B1198">
        <w:rPr>
          <w:rFonts w:ascii="Arial" w:hAnsi="Arial" w:cs="Arial"/>
          <w:sz w:val="24"/>
          <w:szCs w:val="24"/>
        </w:rPr>
        <w:t xml:space="preserve"> is of course for the Department in the first instance, subject </w:t>
      </w:r>
      <w:r w:rsidR="00177F95" w:rsidRPr="003B1198">
        <w:rPr>
          <w:rFonts w:ascii="Arial" w:hAnsi="Arial" w:cs="Arial"/>
          <w:sz w:val="24"/>
          <w:szCs w:val="24"/>
        </w:rPr>
        <w:t>to</w:t>
      </w:r>
      <w:r w:rsidR="00560A59" w:rsidRPr="003B1198">
        <w:rPr>
          <w:rFonts w:ascii="Arial" w:hAnsi="Arial" w:cs="Arial"/>
          <w:sz w:val="24"/>
          <w:szCs w:val="24"/>
        </w:rPr>
        <w:t xml:space="preserve"> a </w:t>
      </w:r>
      <w:r w:rsidR="007330D8" w:rsidRPr="003B1198">
        <w:rPr>
          <w:rFonts w:ascii="Arial" w:hAnsi="Arial" w:cs="Arial"/>
          <w:sz w:val="24"/>
          <w:szCs w:val="24"/>
        </w:rPr>
        <w:t>right</w:t>
      </w:r>
      <w:r w:rsidR="00560A59" w:rsidRPr="003B1198">
        <w:rPr>
          <w:rFonts w:ascii="Arial" w:hAnsi="Arial" w:cs="Arial"/>
          <w:sz w:val="24"/>
          <w:szCs w:val="24"/>
        </w:rPr>
        <w:t xml:space="preserve"> of appeal to the A</w:t>
      </w:r>
      <w:r w:rsidR="00275003" w:rsidRPr="003B1198">
        <w:rPr>
          <w:rFonts w:ascii="Arial" w:hAnsi="Arial" w:cs="Arial"/>
          <w:sz w:val="24"/>
          <w:szCs w:val="24"/>
        </w:rPr>
        <w:t>pp</w:t>
      </w:r>
      <w:r w:rsidR="00560A59" w:rsidRPr="003B1198">
        <w:rPr>
          <w:rFonts w:ascii="Arial" w:hAnsi="Arial" w:cs="Arial"/>
          <w:sz w:val="24"/>
          <w:szCs w:val="24"/>
        </w:rPr>
        <w:t>eal</w:t>
      </w:r>
      <w:r w:rsidR="00275003" w:rsidRPr="003B1198">
        <w:rPr>
          <w:rFonts w:ascii="Arial" w:hAnsi="Arial" w:cs="Arial"/>
          <w:sz w:val="24"/>
          <w:szCs w:val="24"/>
        </w:rPr>
        <w:t xml:space="preserve"> Tribunal, to</w:t>
      </w:r>
      <w:r w:rsidR="00560A59" w:rsidRPr="003B1198">
        <w:rPr>
          <w:rFonts w:ascii="Arial" w:hAnsi="Arial" w:cs="Arial"/>
          <w:sz w:val="24"/>
          <w:szCs w:val="24"/>
        </w:rPr>
        <w:t xml:space="preserve"> </w:t>
      </w:r>
      <w:r w:rsidR="007330D8" w:rsidRPr="003B1198">
        <w:rPr>
          <w:rFonts w:ascii="Arial" w:hAnsi="Arial" w:cs="Arial"/>
          <w:sz w:val="24"/>
          <w:szCs w:val="24"/>
        </w:rPr>
        <w:t>decide</w:t>
      </w:r>
      <w:r w:rsidR="00560A59" w:rsidRPr="003B1198">
        <w:rPr>
          <w:rFonts w:ascii="Arial" w:hAnsi="Arial" w:cs="Arial"/>
          <w:sz w:val="24"/>
          <w:szCs w:val="24"/>
        </w:rPr>
        <w:t xml:space="preserve"> whether a </w:t>
      </w:r>
      <w:r w:rsidR="00D46B7E" w:rsidRPr="003B1198">
        <w:rPr>
          <w:rFonts w:ascii="Arial" w:hAnsi="Arial" w:cs="Arial"/>
          <w:sz w:val="24"/>
          <w:szCs w:val="24"/>
        </w:rPr>
        <w:t>person</w:t>
      </w:r>
      <w:r w:rsidR="00560A59" w:rsidRPr="003B1198">
        <w:rPr>
          <w:rFonts w:ascii="Arial" w:hAnsi="Arial" w:cs="Arial"/>
          <w:sz w:val="24"/>
          <w:szCs w:val="24"/>
        </w:rPr>
        <w:t xml:space="preserve"> has </w:t>
      </w:r>
      <w:r w:rsidR="005B6343" w:rsidRPr="003B1198">
        <w:rPr>
          <w:rFonts w:ascii="Arial" w:hAnsi="Arial" w:cs="Arial"/>
          <w:sz w:val="24"/>
          <w:szCs w:val="24"/>
        </w:rPr>
        <w:t xml:space="preserve">(or should be </w:t>
      </w:r>
      <w:r w:rsidR="00D46B7E" w:rsidRPr="003B1198">
        <w:rPr>
          <w:rFonts w:ascii="Arial" w:hAnsi="Arial" w:cs="Arial"/>
          <w:sz w:val="24"/>
          <w:szCs w:val="24"/>
        </w:rPr>
        <w:t>treated</w:t>
      </w:r>
      <w:r w:rsidR="005B6343" w:rsidRPr="003B1198">
        <w:rPr>
          <w:rFonts w:ascii="Arial" w:hAnsi="Arial" w:cs="Arial"/>
          <w:sz w:val="24"/>
          <w:szCs w:val="24"/>
        </w:rPr>
        <w:t xml:space="preserve"> as having)</w:t>
      </w:r>
      <w:r w:rsidR="001B1F37" w:rsidRPr="003B1198">
        <w:rPr>
          <w:rFonts w:ascii="Arial" w:hAnsi="Arial" w:cs="Arial"/>
          <w:sz w:val="24"/>
          <w:szCs w:val="24"/>
        </w:rPr>
        <w:t xml:space="preserve"> </w:t>
      </w:r>
      <w:r w:rsidR="00560A59" w:rsidRPr="003B1198">
        <w:rPr>
          <w:rFonts w:ascii="Arial" w:hAnsi="Arial" w:cs="Arial"/>
          <w:sz w:val="24"/>
          <w:szCs w:val="24"/>
        </w:rPr>
        <w:t xml:space="preserve">LCW or </w:t>
      </w:r>
      <w:r w:rsidR="00D46B7E" w:rsidRPr="003B1198">
        <w:rPr>
          <w:rFonts w:ascii="Arial" w:hAnsi="Arial" w:cs="Arial"/>
          <w:sz w:val="24"/>
          <w:szCs w:val="24"/>
        </w:rPr>
        <w:t>not</w:t>
      </w:r>
      <w:r w:rsidR="00560A59" w:rsidRPr="003B1198">
        <w:rPr>
          <w:rFonts w:ascii="Arial" w:hAnsi="Arial" w:cs="Arial"/>
          <w:sz w:val="24"/>
          <w:szCs w:val="24"/>
        </w:rPr>
        <w:t xml:space="preserve">. </w:t>
      </w:r>
      <w:r>
        <w:rPr>
          <w:rFonts w:ascii="Arial" w:hAnsi="Arial" w:cs="Arial"/>
          <w:sz w:val="24"/>
          <w:szCs w:val="24"/>
        </w:rPr>
        <w:t xml:space="preserve"> </w:t>
      </w:r>
      <w:r w:rsidR="00560A59" w:rsidRPr="003B1198">
        <w:rPr>
          <w:rFonts w:ascii="Arial" w:hAnsi="Arial" w:cs="Arial"/>
          <w:sz w:val="24"/>
          <w:szCs w:val="24"/>
        </w:rPr>
        <w:t xml:space="preserve">That is not a matter </w:t>
      </w:r>
      <w:r w:rsidR="00D46B7E" w:rsidRPr="003B1198">
        <w:rPr>
          <w:rFonts w:ascii="Arial" w:hAnsi="Arial" w:cs="Arial"/>
          <w:sz w:val="24"/>
          <w:szCs w:val="24"/>
        </w:rPr>
        <w:t>for</w:t>
      </w:r>
      <w:r w:rsidR="00560A59" w:rsidRPr="003B1198">
        <w:rPr>
          <w:rFonts w:ascii="Arial" w:hAnsi="Arial" w:cs="Arial"/>
          <w:sz w:val="24"/>
          <w:szCs w:val="24"/>
        </w:rPr>
        <w:t xml:space="preserve"> a GP to decide</w:t>
      </w:r>
      <w:r w:rsidR="00617A16" w:rsidRPr="003B1198">
        <w:rPr>
          <w:rFonts w:ascii="Arial" w:hAnsi="Arial" w:cs="Arial"/>
          <w:sz w:val="24"/>
          <w:szCs w:val="24"/>
        </w:rPr>
        <w:t xml:space="preserve">, but </w:t>
      </w:r>
      <w:r w:rsidR="00D46B7E" w:rsidRPr="003B1198">
        <w:rPr>
          <w:rFonts w:ascii="Arial" w:hAnsi="Arial" w:cs="Arial"/>
          <w:sz w:val="24"/>
          <w:szCs w:val="24"/>
        </w:rPr>
        <w:t>what a</w:t>
      </w:r>
      <w:r w:rsidR="00617A16" w:rsidRPr="003B1198">
        <w:rPr>
          <w:rFonts w:ascii="Arial" w:hAnsi="Arial" w:cs="Arial"/>
          <w:sz w:val="24"/>
          <w:szCs w:val="24"/>
        </w:rPr>
        <w:t xml:space="preserve"> GP</w:t>
      </w:r>
      <w:r w:rsidR="00D46B7E" w:rsidRPr="003B1198">
        <w:rPr>
          <w:rFonts w:ascii="Arial" w:hAnsi="Arial" w:cs="Arial"/>
          <w:sz w:val="24"/>
          <w:szCs w:val="24"/>
        </w:rPr>
        <w:t xml:space="preserve"> </w:t>
      </w:r>
      <w:r w:rsidR="00E22B41" w:rsidRPr="003B1198">
        <w:rPr>
          <w:rFonts w:ascii="Arial" w:hAnsi="Arial" w:cs="Arial"/>
          <w:sz w:val="24"/>
          <w:szCs w:val="24"/>
        </w:rPr>
        <w:t>(or other treating medical professional)</w:t>
      </w:r>
      <w:r w:rsidR="00ED306B" w:rsidRPr="003B1198">
        <w:rPr>
          <w:rFonts w:ascii="Arial" w:hAnsi="Arial" w:cs="Arial"/>
          <w:sz w:val="24"/>
          <w:szCs w:val="24"/>
        </w:rPr>
        <w:t xml:space="preserve"> </w:t>
      </w:r>
      <w:r w:rsidR="00617A16" w:rsidRPr="003B1198">
        <w:rPr>
          <w:rFonts w:ascii="Arial" w:hAnsi="Arial" w:cs="Arial"/>
          <w:sz w:val="24"/>
          <w:szCs w:val="24"/>
        </w:rPr>
        <w:t xml:space="preserve">has to say about their patient’s </w:t>
      </w:r>
      <w:r w:rsidR="00D46B7E" w:rsidRPr="003B1198">
        <w:rPr>
          <w:rFonts w:ascii="Arial" w:hAnsi="Arial" w:cs="Arial"/>
          <w:sz w:val="24"/>
          <w:szCs w:val="24"/>
        </w:rPr>
        <w:t>condition and</w:t>
      </w:r>
      <w:r w:rsidR="00617A16" w:rsidRPr="003B1198">
        <w:rPr>
          <w:rFonts w:ascii="Arial" w:hAnsi="Arial" w:cs="Arial"/>
          <w:sz w:val="24"/>
          <w:szCs w:val="24"/>
        </w:rPr>
        <w:t xml:space="preserve"> </w:t>
      </w:r>
      <w:r w:rsidR="00B50BB1" w:rsidRPr="003B1198">
        <w:rPr>
          <w:rFonts w:ascii="Arial" w:hAnsi="Arial" w:cs="Arial"/>
          <w:sz w:val="24"/>
          <w:szCs w:val="24"/>
        </w:rPr>
        <w:t>their ability t</w:t>
      </w:r>
      <w:r w:rsidR="00D46B7E" w:rsidRPr="003B1198">
        <w:rPr>
          <w:rFonts w:ascii="Arial" w:hAnsi="Arial" w:cs="Arial"/>
          <w:sz w:val="24"/>
          <w:szCs w:val="24"/>
        </w:rPr>
        <w:t xml:space="preserve">o </w:t>
      </w:r>
      <w:r w:rsidR="00B50BB1" w:rsidRPr="003B1198">
        <w:rPr>
          <w:rFonts w:ascii="Arial" w:hAnsi="Arial" w:cs="Arial"/>
          <w:sz w:val="24"/>
          <w:szCs w:val="24"/>
        </w:rPr>
        <w:t>w</w:t>
      </w:r>
      <w:r w:rsidR="00D46B7E" w:rsidRPr="003B1198">
        <w:rPr>
          <w:rFonts w:ascii="Arial" w:hAnsi="Arial" w:cs="Arial"/>
          <w:sz w:val="24"/>
          <w:szCs w:val="24"/>
        </w:rPr>
        <w:t xml:space="preserve">ork </w:t>
      </w:r>
      <w:r w:rsidR="00B50BB1" w:rsidRPr="003B1198">
        <w:rPr>
          <w:rFonts w:ascii="Arial" w:hAnsi="Arial" w:cs="Arial"/>
          <w:sz w:val="24"/>
          <w:szCs w:val="24"/>
        </w:rPr>
        <w:t xml:space="preserve">or not </w:t>
      </w:r>
      <w:r w:rsidR="00291308" w:rsidRPr="003B1198">
        <w:rPr>
          <w:rFonts w:ascii="Arial" w:hAnsi="Arial" w:cs="Arial"/>
          <w:sz w:val="24"/>
          <w:szCs w:val="24"/>
        </w:rPr>
        <w:t xml:space="preserve">must clearly have potential relevance.  In this case, </w:t>
      </w:r>
      <w:r w:rsidR="004052A9" w:rsidRPr="003B1198">
        <w:rPr>
          <w:rFonts w:ascii="Arial" w:hAnsi="Arial" w:cs="Arial"/>
          <w:sz w:val="24"/>
          <w:szCs w:val="24"/>
        </w:rPr>
        <w:t>by reason of the extend</w:t>
      </w:r>
      <w:r w:rsidR="001B1F37" w:rsidRPr="003B1198">
        <w:rPr>
          <w:rFonts w:ascii="Arial" w:hAnsi="Arial" w:cs="Arial"/>
          <w:sz w:val="24"/>
          <w:szCs w:val="24"/>
        </w:rPr>
        <w:t>ed</w:t>
      </w:r>
      <w:r w:rsidR="004052A9" w:rsidRPr="003B1198">
        <w:rPr>
          <w:rFonts w:ascii="Arial" w:hAnsi="Arial" w:cs="Arial"/>
          <w:sz w:val="24"/>
          <w:szCs w:val="24"/>
        </w:rPr>
        <w:t xml:space="preserve"> period </w:t>
      </w:r>
      <w:r w:rsidR="00AF4584" w:rsidRPr="003B1198">
        <w:rPr>
          <w:rFonts w:ascii="Arial" w:hAnsi="Arial" w:cs="Arial"/>
          <w:sz w:val="24"/>
          <w:szCs w:val="24"/>
        </w:rPr>
        <w:t xml:space="preserve">covered by the certificates and their </w:t>
      </w:r>
      <w:r w:rsidR="00D46B7E" w:rsidRPr="003B1198">
        <w:rPr>
          <w:rFonts w:ascii="Arial" w:hAnsi="Arial" w:cs="Arial"/>
          <w:sz w:val="24"/>
          <w:szCs w:val="24"/>
        </w:rPr>
        <w:t>repeated</w:t>
      </w:r>
      <w:r w:rsidR="00AF4584" w:rsidRPr="003B1198">
        <w:rPr>
          <w:rFonts w:ascii="Arial" w:hAnsi="Arial" w:cs="Arial"/>
          <w:sz w:val="24"/>
          <w:szCs w:val="24"/>
        </w:rPr>
        <w:t xml:space="preserve"> issue</w:t>
      </w:r>
      <w:r w:rsidR="00D21B9B" w:rsidRPr="003B1198">
        <w:rPr>
          <w:rFonts w:ascii="Arial" w:hAnsi="Arial" w:cs="Arial"/>
          <w:sz w:val="24"/>
          <w:szCs w:val="24"/>
        </w:rPr>
        <w:t>,</w:t>
      </w:r>
      <w:r w:rsidR="00304DCF" w:rsidRPr="003B1198">
        <w:rPr>
          <w:rFonts w:ascii="Arial" w:hAnsi="Arial" w:cs="Arial"/>
          <w:sz w:val="24"/>
          <w:szCs w:val="24"/>
        </w:rPr>
        <w:t xml:space="preserve"> </w:t>
      </w:r>
      <w:r w:rsidR="00FB3004" w:rsidRPr="003B1198">
        <w:rPr>
          <w:rFonts w:ascii="Arial" w:hAnsi="Arial" w:cs="Arial"/>
          <w:sz w:val="24"/>
          <w:szCs w:val="24"/>
        </w:rPr>
        <w:t>the evidence was such that the question flagged in point 2 of the Directions of 30 December cried out to be asked</w:t>
      </w:r>
      <w:r w:rsidR="004D4D3A" w:rsidRPr="003B1198">
        <w:rPr>
          <w:rFonts w:ascii="Arial" w:hAnsi="Arial" w:cs="Arial"/>
          <w:sz w:val="24"/>
          <w:szCs w:val="24"/>
        </w:rPr>
        <w:t>.</w:t>
      </w:r>
    </w:p>
    <w:p w14:paraId="1BA1BCC5" w14:textId="77777777" w:rsidR="004316BC" w:rsidRPr="003B1198" w:rsidRDefault="004316BC" w:rsidP="00D224F0">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6D3A111" w14:textId="41FB581C" w:rsidR="007975E9" w:rsidRPr="003B1198" w:rsidRDefault="00D224F0" w:rsidP="00D224F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19.</w:t>
      </w:r>
      <w:r>
        <w:rPr>
          <w:rFonts w:ascii="Arial" w:hAnsi="Arial" w:cs="Arial"/>
          <w:sz w:val="24"/>
          <w:szCs w:val="24"/>
        </w:rPr>
        <w:tab/>
      </w:r>
      <w:r w:rsidR="00895119" w:rsidRPr="003B1198">
        <w:rPr>
          <w:rFonts w:ascii="Arial" w:hAnsi="Arial" w:cs="Arial"/>
          <w:sz w:val="24"/>
          <w:szCs w:val="24"/>
        </w:rPr>
        <w:t xml:space="preserve">Accordingly, the </w:t>
      </w:r>
      <w:r w:rsidR="00D46B7E" w:rsidRPr="003B1198">
        <w:rPr>
          <w:rFonts w:ascii="Arial" w:hAnsi="Arial" w:cs="Arial"/>
          <w:sz w:val="24"/>
          <w:szCs w:val="24"/>
        </w:rPr>
        <w:t>appeal is</w:t>
      </w:r>
      <w:r w:rsidR="00895119" w:rsidRPr="003B1198">
        <w:rPr>
          <w:rFonts w:ascii="Arial" w:hAnsi="Arial" w:cs="Arial"/>
          <w:sz w:val="24"/>
          <w:szCs w:val="24"/>
        </w:rPr>
        <w:t xml:space="preserve"> allowed o</w:t>
      </w:r>
      <w:r w:rsidR="00BB07AC" w:rsidRPr="003B1198">
        <w:rPr>
          <w:rFonts w:ascii="Arial" w:hAnsi="Arial" w:cs="Arial"/>
          <w:sz w:val="24"/>
          <w:szCs w:val="24"/>
        </w:rPr>
        <w:t>n</w:t>
      </w:r>
      <w:r w:rsidR="00895119" w:rsidRPr="003B1198">
        <w:rPr>
          <w:rFonts w:ascii="Arial" w:hAnsi="Arial" w:cs="Arial"/>
          <w:sz w:val="24"/>
          <w:szCs w:val="24"/>
        </w:rPr>
        <w:t xml:space="preserve"> both the </w:t>
      </w:r>
      <w:r w:rsidR="00D46B7E" w:rsidRPr="003B1198">
        <w:rPr>
          <w:rFonts w:ascii="Arial" w:hAnsi="Arial" w:cs="Arial"/>
          <w:sz w:val="24"/>
          <w:szCs w:val="24"/>
        </w:rPr>
        <w:t>points</w:t>
      </w:r>
      <w:r w:rsidR="00895119" w:rsidRPr="003B1198">
        <w:rPr>
          <w:rFonts w:ascii="Arial" w:hAnsi="Arial" w:cs="Arial"/>
          <w:sz w:val="24"/>
          <w:szCs w:val="24"/>
        </w:rPr>
        <w:t xml:space="preserve"> in th</w:t>
      </w:r>
      <w:r w:rsidR="005039D2" w:rsidRPr="003B1198">
        <w:rPr>
          <w:rFonts w:ascii="Arial" w:hAnsi="Arial" w:cs="Arial"/>
          <w:sz w:val="24"/>
          <w:szCs w:val="24"/>
        </w:rPr>
        <w:t>ose Directions.</w:t>
      </w:r>
    </w:p>
    <w:p w14:paraId="1FD6D84D" w14:textId="01A708F8" w:rsidR="007975E9" w:rsidRDefault="00B5208D" w:rsidP="003B1198">
      <w:pPr>
        <w:spacing w:after="0" w:line="240" w:lineRule="auto"/>
        <w:rPr>
          <w:rFonts w:ascii="Arial" w:hAnsi="Arial" w:cs="Arial"/>
          <w:sz w:val="24"/>
          <w:szCs w:val="24"/>
        </w:rPr>
      </w:pPr>
      <w:r w:rsidRPr="003B1198">
        <w:rPr>
          <w:rFonts w:ascii="Arial" w:hAnsi="Arial" w:cs="Arial"/>
          <w:noProof/>
          <w:kern w:val="0"/>
          <w:sz w:val="24"/>
          <w:szCs w:val="24"/>
        </w:rPr>
        <w:drawing>
          <wp:anchor distT="0" distB="0" distL="114300" distR="114300" simplePos="0" relativeHeight="251658240" behindDoc="0" locked="0" layoutInCell="1" allowOverlap="1" wp14:anchorId="61BC9E64" wp14:editId="31643DE1">
            <wp:simplePos x="0" y="0"/>
            <wp:positionH relativeFrom="column">
              <wp:posOffset>598805</wp:posOffset>
            </wp:positionH>
            <wp:positionV relativeFrom="paragraph">
              <wp:posOffset>93980</wp:posOffset>
            </wp:positionV>
            <wp:extent cx="1758950" cy="393700"/>
            <wp:effectExtent l="0" t="0" r="0" b="6350"/>
            <wp:wrapThrough wrapText="bothSides">
              <wp:wrapPolygon edited="0">
                <wp:start x="0" y="0"/>
                <wp:lineTo x="0" y="20903"/>
                <wp:lineTo x="21288" y="20903"/>
                <wp:lineTo x="2128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2500" b="15625"/>
                    <a:stretch/>
                  </pic:blipFill>
                  <pic:spPr bwMode="auto">
                    <a:xfrm>
                      <a:off x="0" y="0"/>
                      <a:ext cx="1758950" cy="393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C8EA9C" w14:textId="77777777" w:rsidR="00B5208D" w:rsidRPr="003B1198" w:rsidRDefault="00B5208D" w:rsidP="003B1198">
      <w:pPr>
        <w:spacing w:after="0" w:line="240" w:lineRule="auto"/>
        <w:rPr>
          <w:rFonts w:ascii="Arial" w:hAnsi="Arial" w:cs="Arial"/>
          <w:sz w:val="24"/>
          <w:szCs w:val="24"/>
        </w:rPr>
      </w:pPr>
    </w:p>
    <w:p w14:paraId="55CD98A6" w14:textId="0F73DBAC" w:rsidR="007975E9" w:rsidRPr="003B1198" w:rsidRDefault="007975E9" w:rsidP="003B1198">
      <w:pPr>
        <w:spacing w:after="0" w:line="240" w:lineRule="auto"/>
        <w:rPr>
          <w:rFonts w:ascii="Arial" w:hAnsi="Arial" w:cs="Arial"/>
          <w:sz w:val="24"/>
          <w:szCs w:val="24"/>
        </w:rPr>
      </w:pPr>
    </w:p>
    <w:p w14:paraId="22C1F333" w14:textId="48DF4DEC" w:rsidR="007975E9" w:rsidRPr="00B5208D" w:rsidRDefault="007975E9" w:rsidP="003B1198">
      <w:pPr>
        <w:spacing w:after="0" w:line="240" w:lineRule="auto"/>
        <w:rPr>
          <w:rFonts w:ascii="Arial" w:hAnsi="Arial" w:cs="Arial"/>
          <w:bCs/>
          <w:sz w:val="24"/>
          <w:szCs w:val="24"/>
        </w:rPr>
      </w:pPr>
      <w:r w:rsidRPr="003B1198">
        <w:rPr>
          <w:rFonts w:ascii="Arial" w:hAnsi="Arial" w:cs="Arial"/>
          <w:sz w:val="24"/>
          <w:szCs w:val="24"/>
        </w:rPr>
        <w:t>(Signed):</w:t>
      </w:r>
      <w:r w:rsidR="00B5208D">
        <w:rPr>
          <w:rFonts w:ascii="Arial" w:hAnsi="Arial" w:cs="Arial"/>
          <w:sz w:val="24"/>
          <w:szCs w:val="24"/>
        </w:rPr>
        <w:t xml:space="preserve">  </w:t>
      </w:r>
      <w:r w:rsidRPr="00B5208D">
        <w:rPr>
          <w:rFonts w:ascii="Arial" w:hAnsi="Arial" w:cs="Arial"/>
          <w:bCs/>
          <w:sz w:val="24"/>
          <w:szCs w:val="24"/>
        </w:rPr>
        <w:t>C G WARD</w:t>
      </w:r>
    </w:p>
    <w:p w14:paraId="2D084607" w14:textId="77777777" w:rsidR="00B5208D" w:rsidRPr="00B5208D" w:rsidRDefault="00B5208D" w:rsidP="003B1198">
      <w:pPr>
        <w:spacing w:after="0" w:line="240" w:lineRule="auto"/>
        <w:rPr>
          <w:rFonts w:ascii="Arial" w:hAnsi="Arial" w:cs="Arial"/>
          <w:bCs/>
          <w:sz w:val="24"/>
          <w:szCs w:val="24"/>
        </w:rPr>
      </w:pPr>
    </w:p>
    <w:p w14:paraId="059BB017" w14:textId="0A7818B6" w:rsidR="007975E9" w:rsidRPr="00B5208D" w:rsidRDefault="007975E9" w:rsidP="003B1198">
      <w:pPr>
        <w:spacing w:after="0" w:line="240" w:lineRule="auto"/>
        <w:rPr>
          <w:rFonts w:ascii="Arial" w:hAnsi="Arial" w:cs="Arial"/>
          <w:bCs/>
          <w:sz w:val="24"/>
          <w:szCs w:val="24"/>
        </w:rPr>
      </w:pPr>
      <w:r w:rsidRPr="00B5208D">
        <w:rPr>
          <w:rFonts w:ascii="Arial" w:hAnsi="Arial" w:cs="Arial"/>
          <w:bCs/>
          <w:sz w:val="24"/>
          <w:szCs w:val="24"/>
        </w:rPr>
        <w:t>DEPUTY COMMISSIONER (NI)</w:t>
      </w:r>
    </w:p>
    <w:p w14:paraId="40BF1D8D" w14:textId="77777777" w:rsidR="007975E9" w:rsidRPr="003B1198" w:rsidRDefault="007975E9" w:rsidP="003B1198">
      <w:pPr>
        <w:spacing w:after="0" w:line="240" w:lineRule="auto"/>
        <w:rPr>
          <w:rFonts w:ascii="Arial" w:hAnsi="Arial" w:cs="Arial"/>
          <w:sz w:val="24"/>
          <w:szCs w:val="24"/>
        </w:rPr>
      </w:pPr>
    </w:p>
    <w:p w14:paraId="7EDD70BA" w14:textId="77777777" w:rsidR="007975E9" w:rsidRPr="003B1198" w:rsidRDefault="007975E9" w:rsidP="003B1198">
      <w:pPr>
        <w:spacing w:after="0" w:line="240" w:lineRule="auto"/>
        <w:rPr>
          <w:rFonts w:ascii="Arial" w:hAnsi="Arial" w:cs="Arial"/>
          <w:sz w:val="24"/>
          <w:szCs w:val="24"/>
        </w:rPr>
      </w:pPr>
    </w:p>
    <w:p w14:paraId="321AA076" w14:textId="77777777" w:rsidR="00B5208D" w:rsidRDefault="00B5208D" w:rsidP="003B1198">
      <w:pPr>
        <w:spacing w:after="0" w:line="240" w:lineRule="auto"/>
        <w:rPr>
          <w:rFonts w:ascii="Arial" w:hAnsi="Arial" w:cs="Arial"/>
          <w:sz w:val="24"/>
          <w:szCs w:val="24"/>
        </w:rPr>
      </w:pPr>
    </w:p>
    <w:p w14:paraId="313A55A5" w14:textId="2986550E" w:rsidR="007975E9" w:rsidRPr="003B1198" w:rsidRDefault="00C27355" w:rsidP="003B1198">
      <w:pPr>
        <w:spacing w:after="0" w:line="240" w:lineRule="auto"/>
        <w:rPr>
          <w:rFonts w:ascii="Arial" w:hAnsi="Arial" w:cs="Arial"/>
          <w:sz w:val="24"/>
          <w:szCs w:val="24"/>
        </w:rPr>
      </w:pPr>
      <w:r w:rsidRPr="003B1198">
        <w:rPr>
          <w:rFonts w:ascii="Arial" w:hAnsi="Arial" w:cs="Arial"/>
          <w:sz w:val="24"/>
          <w:szCs w:val="24"/>
        </w:rPr>
        <w:t>13 March 202</w:t>
      </w:r>
      <w:r w:rsidR="00D15686">
        <w:rPr>
          <w:rFonts w:ascii="Arial" w:hAnsi="Arial" w:cs="Arial"/>
          <w:sz w:val="24"/>
          <w:szCs w:val="24"/>
        </w:rPr>
        <w:t>5</w:t>
      </w:r>
    </w:p>
    <w:sectPr w:rsidR="007975E9" w:rsidRPr="003B1198" w:rsidSect="003B1198">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11B5" w14:textId="77777777" w:rsidR="00163A30" w:rsidRDefault="00163A30" w:rsidP="00355E3E">
      <w:pPr>
        <w:spacing w:after="0" w:line="240" w:lineRule="auto"/>
      </w:pPr>
      <w:r>
        <w:separator/>
      </w:r>
    </w:p>
  </w:endnote>
  <w:endnote w:type="continuationSeparator" w:id="0">
    <w:p w14:paraId="5955987E" w14:textId="77777777" w:rsidR="00163A30" w:rsidRDefault="00163A30" w:rsidP="0035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B7EE" w14:textId="24FF5E7A" w:rsidR="00355E3E" w:rsidRPr="006A5C2C" w:rsidRDefault="00355E3E" w:rsidP="006A5C2C">
    <w:pPr>
      <w:pStyle w:val="Footer"/>
      <w:jc w:val="center"/>
      <w:rPr>
        <w:rFonts w:ascii="Arial" w:hAnsi="Arial" w:cs="Arial"/>
        <w:sz w:val="24"/>
        <w:szCs w:val="24"/>
      </w:rPr>
    </w:pPr>
    <w:r w:rsidRPr="006A5C2C">
      <w:rPr>
        <w:rFonts w:ascii="Arial" w:hAnsi="Arial" w:cs="Arial"/>
        <w:sz w:val="24"/>
        <w:szCs w:val="24"/>
      </w:rPr>
      <w:fldChar w:fldCharType="begin"/>
    </w:r>
    <w:r w:rsidRPr="006A5C2C">
      <w:rPr>
        <w:rFonts w:ascii="Arial" w:hAnsi="Arial" w:cs="Arial"/>
        <w:sz w:val="24"/>
        <w:szCs w:val="24"/>
      </w:rPr>
      <w:instrText xml:space="preserve"> PAGE   \* MERGEFORMAT </w:instrText>
    </w:r>
    <w:r w:rsidRPr="006A5C2C">
      <w:rPr>
        <w:rFonts w:ascii="Arial" w:hAnsi="Arial" w:cs="Arial"/>
        <w:sz w:val="24"/>
        <w:szCs w:val="24"/>
      </w:rPr>
      <w:fldChar w:fldCharType="separate"/>
    </w:r>
    <w:r w:rsidRPr="006A5C2C">
      <w:rPr>
        <w:rFonts w:ascii="Arial" w:hAnsi="Arial" w:cs="Arial"/>
        <w:noProof/>
        <w:sz w:val="24"/>
        <w:szCs w:val="24"/>
      </w:rPr>
      <w:t>2</w:t>
    </w:r>
    <w:r w:rsidRPr="006A5C2C">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11A9" w14:textId="77777777" w:rsidR="00163A30" w:rsidRDefault="00163A30" w:rsidP="00355E3E">
      <w:pPr>
        <w:spacing w:after="0" w:line="240" w:lineRule="auto"/>
      </w:pPr>
      <w:r>
        <w:separator/>
      </w:r>
    </w:p>
  </w:footnote>
  <w:footnote w:type="continuationSeparator" w:id="0">
    <w:p w14:paraId="4D1F1CD4" w14:textId="77777777" w:rsidR="00163A30" w:rsidRDefault="00163A30" w:rsidP="00355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A0F"/>
    <w:multiLevelType w:val="hybridMultilevel"/>
    <w:tmpl w:val="27BCAEA6"/>
    <w:lvl w:ilvl="0" w:tplc="C76AE05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8842565"/>
    <w:multiLevelType w:val="hybridMultilevel"/>
    <w:tmpl w:val="95741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D821D2"/>
    <w:multiLevelType w:val="hybridMultilevel"/>
    <w:tmpl w:val="4F109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367AA0"/>
    <w:multiLevelType w:val="hybridMultilevel"/>
    <w:tmpl w:val="7C2E5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3A74DB"/>
    <w:multiLevelType w:val="hybridMultilevel"/>
    <w:tmpl w:val="91CCC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79321A"/>
    <w:multiLevelType w:val="hybridMultilevel"/>
    <w:tmpl w:val="AB7AF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548898">
    <w:abstractNumId w:val="0"/>
  </w:num>
  <w:num w:numId="2" w16cid:durableId="32392597">
    <w:abstractNumId w:val="3"/>
  </w:num>
  <w:num w:numId="3" w16cid:durableId="479733050">
    <w:abstractNumId w:val="4"/>
  </w:num>
  <w:num w:numId="4" w16cid:durableId="1446851632">
    <w:abstractNumId w:val="2"/>
  </w:num>
  <w:num w:numId="5" w16cid:durableId="1289357993">
    <w:abstractNumId w:val="5"/>
  </w:num>
  <w:num w:numId="6" w16cid:durableId="818114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9C"/>
    <w:rsid w:val="00001C76"/>
    <w:rsid w:val="000202EB"/>
    <w:rsid w:val="00037618"/>
    <w:rsid w:val="00043989"/>
    <w:rsid w:val="00052FDC"/>
    <w:rsid w:val="000734C3"/>
    <w:rsid w:val="000A780B"/>
    <w:rsid w:val="000B6C41"/>
    <w:rsid w:val="000D33A9"/>
    <w:rsid w:val="000D5D87"/>
    <w:rsid w:val="000D5DC1"/>
    <w:rsid w:val="000F33C1"/>
    <w:rsid w:val="00136AD5"/>
    <w:rsid w:val="00143C89"/>
    <w:rsid w:val="00150D70"/>
    <w:rsid w:val="001624DB"/>
    <w:rsid w:val="00163A30"/>
    <w:rsid w:val="00177F95"/>
    <w:rsid w:val="00180E1E"/>
    <w:rsid w:val="00182B6A"/>
    <w:rsid w:val="0018379C"/>
    <w:rsid w:val="001916ED"/>
    <w:rsid w:val="001B1F37"/>
    <w:rsid w:val="001D4804"/>
    <w:rsid w:val="001E7049"/>
    <w:rsid w:val="001F412C"/>
    <w:rsid w:val="002217EF"/>
    <w:rsid w:val="002444F9"/>
    <w:rsid w:val="002573D1"/>
    <w:rsid w:val="00270C0E"/>
    <w:rsid w:val="00271A81"/>
    <w:rsid w:val="00275003"/>
    <w:rsid w:val="00275EA4"/>
    <w:rsid w:val="00291308"/>
    <w:rsid w:val="002A32E1"/>
    <w:rsid w:val="002B03F6"/>
    <w:rsid w:val="002B061D"/>
    <w:rsid w:val="002C5F0D"/>
    <w:rsid w:val="002E0FD1"/>
    <w:rsid w:val="00304DCF"/>
    <w:rsid w:val="0030773C"/>
    <w:rsid w:val="00355E3E"/>
    <w:rsid w:val="00373C66"/>
    <w:rsid w:val="0038000F"/>
    <w:rsid w:val="003A3C48"/>
    <w:rsid w:val="003A7872"/>
    <w:rsid w:val="003B1198"/>
    <w:rsid w:val="00404025"/>
    <w:rsid w:val="004052A9"/>
    <w:rsid w:val="00405B78"/>
    <w:rsid w:val="0042088F"/>
    <w:rsid w:val="004222A0"/>
    <w:rsid w:val="00426739"/>
    <w:rsid w:val="004316BC"/>
    <w:rsid w:val="00436B5D"/>
    <w:rsid w:val="004610E8"/>
    <w:rsid w:val="004671B5"/>
    <w:rsid w:val="00484B0F"/>
    <w:rsid w:val="00485D60"/>
    <w:rsid w:val="004907A4"/>
    <w:rsid w:val="0049408E"/>
    <w:rsid w:val="00494104"/>
    <w:rsid w:val="004D4D3A"/>
    <w:rsid w:val="004D5590"/>
    <w:rsid w:val="004F2965"/>
    <w:rsid w:val="005039D2"/>
    <w:rsid w:val="00537449"/>
    <w:rsid w:val="00551CC3"/>
    <w:rsid w:val="00560A59"/>
    <w:rsid w:val="005654B8"/>
    <w:rsid w:val="00567D58"/>
    <w:rsid w:val="00574BE7"/>
    <w:rsid w:val="00595B17"/>
    <w:rsid w:val="005A7763"/>
    <w:rsid w:val="005B6343"/>
    <w:rsid w:val="0060457A"/>
    <w:rsid w:val="006059FB"/>
    <w:rsid w:val="00605E67"/>
    <w:rsid w:val="006129C3"/>
    <w:rsid w:val="00617A16"/>
    <w:rsid w:val="00622EEF"/>
    <w:rsid w:val="006367C2"/>
    <w:rsid w:val="006472DF"/>
    <w:rsid w:val="006677BC"/>
    <w:rsid w:val="0069049F"/>
    <w:rsid w:val="006A5C2C"/>
    <w:rsid w:val="006D0E84"/>
    <w:rsid w:val="006F0F85"/>
    <w:rsid w:val="006F75EE"/>
    <w:rsid w:val="007032CA"/>
    <w:rsid w:val="00710DEF"/>
    <w:rsid w:val="00724FBB"/>
    <w:rsid w:val="007330D8"/>
    <w:rsid w:val="00741AF9"/>
    <w:rsid w:val="007633E1"/>
    <w:rsid w:val="00765F69"/>
    <w:rsid w:val="0077092D"/>
    <w:rsid w:val="00793E0F"/>
    <w:rsid w:val="007975E9"/>
    <w:rsid w:val="007D29CD"/>
    <w:rsid w:val="007D35F0"/>
    <w:rsid w:val="008055E0"/>
    <w:rsid w:val="00822954"/>
    <w:rsid w:val="00840D43"/>
    <w:rsid w:val="008439CC"/>
    <w:rsid w:val="0085559F"/>
    <w:rsid w:val="00862D62"/>
    <w:rsid w:val="00895119"/>
    <w:rsid w:val="008A7802"/>
    <w:rsid w:val="008E1F70"/>
    <w:rsid w:val="00910FE7"/>
    <w:rsid w:val="00912B7B"/>
    <w:rsid w:val="00924A8F"/>
    <w:rsid w:val="00926C06"/>
    <w:rsid w:val="009715DA"/>
    <w:rsid w:val="009873F2"/>
    <w:rsid w:val="00987B96"/>
    <w:rsid w:val="009E222E"/>
    <w:rsid w:val="009E4154"/>
    <w:rsid w:val="009E798B"/>
    <w:rsid w:val="00A041FB"/>
    <w:rsid w:val="00A06E41"/>
    <w:rsid w:val="00A30BDF"/>
    <w:rsid w:val="00A366B6"/>
    <w:rsid w:val="00A40FB7"/>
    <w:rsid w:val="00A45574"/>
    <w:rsid w:val="00A6717E"/>
    <w:rsid w:val="00A827C3"/>
    <w:rsid w:val="00A86707"/>
    <w:rsid w:val="00AA23A2"/>
    <w:rsid w:val="00AA3BE8"/>
    <w:rsid w:val="00AF4584"/>
    <w:rsid w:val="00B035A2"/>
    <w:rsid w:val="00B21830"/>
    <w:rsid w:val="00B50BB1"/>
    <w:rsid w:val="00B5208D"/>
    <w:rsid w:val="00B534F0"/>
    <w:rsid w:val="00B61220"/>
    <w:rsid w:val="00B77547"/>
    <w:rsid w:val="00B84D82"/>
    <w:rsid w:val="00BA320A"/>
    <w:rsid w:val="00BB07AC"/>
    <w:rsid w:val="00BC48B2"/>
    <w:rsid w:val="00BC4D79"/>
    <w:rsid w:val="00BE1C02"/>
    <w:rsid w:val="00BF44EA"/>
    <w:rsid w:val="00C033D9"/>
    <w:rsid w:val="00C27355"/>
    <w:rsid w:val="00C316C9"/>
    <w:rsid w:val="00C41CF8"/>
    <w:rsid w:val="00C43F3D"/>
    <w:rsid w:val="00C901EB"/>
    <w:rsid w:val="00C95AA6"/>
    <w:rsid w:val="00CB1DBA"/>
    <w:rsid w:val="00CB6267"/>
    <w:rsid w:val="00D025AD"/>
    <w:rsid w:val="00D15686"/>
    <w:rsid w:val="00D21B9B"/>
    <w:rsid w:val="00D224F0"/>
    <w:rsid w:val="00D42D2D"/>
    <w:rsid w:val="00D4661B"/>
    <w:rsid w:val="00D46B7E"/>
    <w:rsid w:val="00D670E6"/>
    <w:rsid w:val="00D814F8"/>
    <w:rsid w:val="00DA217E"/>
    <w:rsid w:val="00DA4BBA"/>
    <w:rsid w:val="00DB3238"/>
    <w:rsid w:val="00DB52E8"/>
    <w:rsid w:val="00DD05B7"/>
    <w:rsid w:val="00DF3A5E"/>
    <w:rsid w:val="00E025BB"/>
    <w:rsid w:val="00E1512E"/>
    <w:rsid w:val="00E22B41"/>
    <w:rsid w:val="00E32639"/>
    <w:rsid w:val="00E61579"/>
    <w:rsid w:val="00E80661"/>
    <w:rsid w:val="00E82F1F"/>
    <w:rsid w:val="00E9267E"/>
    <w:rsid w:val="00EB30BB"/>
    <w:rsid w:val="00EB770F"/>
    <w:rsid w:val="00ED306B"/>
    <w:rsid w:val="00EE7DEB"/>
    <w:rsid w:val="00EF346E"/>
    <w:rsid w:val="00F0373C"/>
    <w:rsid w:val="00F13214"/>
    <w:rsid w:val="00F33F29"/>
    <w:rsid w:val="00F86259"/>
    <w:rsid w:val="00F904D3"/>
    <w:rsid w:val="00F96FD1"/>
    <w:rsid w:val="00FB3004"/>
    <w:rsid w:val="00FC21F2"/>
    <w:rsid w:val="00FD442A"/>
    <w:rsid w:val="00FE1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6759"/>
  <w15:chartTrackingRefBased/>
  <w15:docId w15:val="{84CCF3B7-F20A-48F5-9577-F37E6D1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D79"/>
    <w:rPr>
      <w:rFonts w:ascii="Times New Roman" w:hAnsi="Times New Roman"/>
      <w:sz w:val="24"/>
      <w:szCs w:val="24"/>
    </w:rPr>
  </w:style>
  <w:style w:type="character" w:styleId="Hyperlink">
    <w:name w:val="Hyperlink"/>
    <w:uiPriority w:val="99"/>
    <w:unhideWhenUsed/>
    <w:rsid w:val="004907A4"/>
    <w:rPr>
      <w:color w:val="0563C1"/>
      <w:u w:val="single"/>
    </w:rPr>
  </w:style>
  <w:style w:type="character" w:styleId="UnresolvedMention">
    <w:name w:val="Unresolved Mention"/>
    <w:uiPriority w:val="99"/>
    <w:semiHidden/>
    <w:unhideWhenUsed/>
    <w:rsid w:val="004907A4"/>
    <w:rPr>
      <w:color w:val="605E5C"/>
      <w:shd w:val="clear" w:color="auto" w:fill="E1DFDD"/>
    </w:rPr>
  </w:style>
  <w:style w:type="paragraph" w:styleId="ListParagraph">
    <w:name w:val="List Paragraph"/>
    <w:basedOn w:val="Normal"/>
    <w:uiPriority w:val="34"/>
    <w:qFormat/>
    <w:rsid w:val="002C5F0D"/>
    <w:pPr>
      <w:ind w:left="720"/>
    </w:pPr>
  </w:style>
  <w:style w:type="paragraph" w:styleId="Header">
    <w:name w:val="header"/>
    <w:basedOn w:val="Normal"/>
    <w:link w:val="HeaderChar"/>
    <w:uiPriority w:val="99"/>
    <w:unhideWhenUsed/>
    <w:rsid w:val="00355E3E"/>
    <w:pPr>
      <w:tabs>
        <w:tab w:val="center" w:pos="4513"/>
        <w:tab w:val="right" w:pos="9026"/>
      </w:tabs>
    </w:pPr>
  </w:style>
  <w:style w:type="character" w:customStyle="1" w:styleId="HeaderChar">
    <w:name w:val="Header Char"/>
    <w:link w:val="Header"/>
    <w:uiPriority w:val="99"/>
    <w:rsid w:val="00355E3E"/>
    <w:rPr>
      <w:kern w:val="2"/>
      <w:sz w:val="22"/>
      <w:szCs w:val="22"/>
      <w:lang w:eastAsia="en-US"/>
    </w:rPr>
  </w:style>
  <w:style w:type="paragraph" w:styleId="Footer">
    <w:name w:val="footer"/>
    <w:basedOn w:val="Normal"/>
    <w:link w:val="FooterChar"/>
    <w:uiPriority w:val="99"/>
    <w:unhideWhenUsed/>
    <w:rsid w:val="00355E3E"/>
    <w:pPr>
      <w:tabs>
        <w:tab w:val="center" w:pos="4513"/>
        <w:tab w:val="right" w:pos="9026"/>
      </w:tabs>
    </w:pPr>
  </w:style>
  <w:style w:type="character" w:customStyle="1" w:styleId="FooterChar">
    <w:name w:val="Footer Char"/>
    <w:link w:val="Footer"/>
    <w:uiPriority w:val="99"/>
    <w:rsid w:val="00355E3E"/>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0466">
      <w:bodyDiv w:val="1"/>
      <w:marLeft w:val="0"/>
      <w:marRight w:val="0"/>
      <w:marTop w:val="0"/>
      <w:marBottom w:val="0"/>
      <w:divBdr>
        <w:top w:val="none" w:sz="0" w:space="0" w:color="auto"/>
        <w:left w:val="none" w:sz="0" w:space="0" w:color="auto"/>
        <w:bottom w:val="none" w:sz="0" w:space="0" w:color="auto"/>
        <w:right w:val="none" w:sz="0" w:space="0" w:color="auto"/>
      </w:divBdr>
      <w:divsChild>
        <w:div w:id="41905339">
          <w:blockQuote w:val="1"/>
          <w:marLeft w:val="720"/>
          <w:marRight w:val="720"/>
          <w:marTop w:val="100"/>
          <w:marBottom w:val="100"/>
          <w:divBdr>
            <w:top w:val="none" w:sz="0" w:space="0" w:color="auto"/>
            <w:left w:val="none" w:sz="0" w:space="0" w:color="auto"/>
            <w:bottom w:val="none" w:sz="0" w:space="0" w:color="auto"/>
            <w:right w:val="none" w:sz="0" w:space="0" w:color="auto"/>
          </w:divBdr>
        </w:div>
        <w:div w:id="896671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807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309691">
      <w:bodyDiv w:val="1"/>
      <w:marLeft w:val="0"/>
      <w:marRight w:val="0"/>
      <w:marTop w:val="0"/>
      <w:marBottom w:val="0"/>
      <w:divBdr>
        <w:top w:val="none" w:sz="0" w:space="0" w:color="auto"/>
        <w:left w:val="none" w:sz="0" w:space="0" w:color="auto"/>
        <w:bottom w:val="none" w:sz="0" w:space="0" w:color="auto"/>
        <w:right w:val="none" w:sz="0" w:space="0" w:color="auto"/>
      </w:divBdr>
    </w:div>
    <w:div w:id="1823307545">
      <w:bodyDiv w:val="1"/>
      <w:marLeft w:val="0"/>
      <w:marRight w:val="0"/>
      <w:marTop w:val="0"/>
      <w:marBottom w:val="0"/>
      <w:divBdr>
        <w:top w:val="none" w:sz="0" w:space="0" w:color="auto"/>
        <w:left w:val="none" w:sz="0" w:space="0" w:color="auto"/>
        <w:bottom w:val="none" w:sz="0" w:space="0" w:color="auto"/>
        <w:right w:val="none" w:sz="0" w:space="0" w:color="auto"/>
      </w:divBdr>
      <w:divsChild>
        <w:div w:id="1855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87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C9/24-25(UC)</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C9/24-25(UC)</dc:title>
  <dc:subject/>
  <dc:creator/>
  <cp:keywords/>
  <dc:description/>
  <cp:lastModifiedBy>Bowman, Marie</cp:lastModifiedBy>
  <cp:revision>14</cp:revision>
  <cp:lastPrinted>2025-03-07T09:55:00Z</cp:lastPrinted>
  <dcterms:created xsi:type="dcterms:W3CDTF">2025-03-14T10:18:00Z</dcterms:created>
  <dcterms:modified xsi:type="dcterms:W3CDTF">2025-03-14T11:21:00Z</dcterms:modified>
</cp:coreProperties>
</file>