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0778" w14:textId="3468956A" w:rsidR="005A5D5C" w:rsidRPr="00AF44BA" w:rsidRDefault="005A5D5C" w:rsidP="00087695">
      <w:pPr>
        <w:spacing w:after="0" w:line="240" w:lineRule="auto"/>
        <w:jc w:val="right"/>
        <w:rPr>
          <w:rFonts w:ascii="Arial" w:eastAsia="Aptos" w:hAnsi="Arial" w:cs="Arial"/>
          <w:bCs/>
          <w:color w:val="000000" w:themeColor="text1"/>
          <w:kern w:val="0"/>
          <w:sz w:val="24"/>
          <w:szCs w:val="24"/>
        </w:rPr>
      </w:pPr>
      <w:r w:rsidRPr="00AF44BA">
        <w:rPr>
          <w:rFonts w:ascii="Arial" w:eastAsia="Aptos" w:hAnsi="Arial" w:cs="Arial"/>
          <w:bCs/>
          <w:color w:val="000000" w:themeColor="text1"/>
          <w:sz w:val="24"/>
          <w:szCs w:val="24"/>
        </w:rPr>
        <w:t>MD -v- Department for Communities (ESA) [2025] NICom 13</w:t>
      </w:r>
    </w:p>
    <w:p w14:paraId="2C156C59" w14:textId="77777777" w:rsidR="005A5D5C" w:rsidRPr="00087695" w:rsidRDefault="005A5D5C" w:rsidP="0008769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CEA5F6F" w14:textId="06DA511D" w:rsidR="005A5D5C" w:rsidRPr="00AF44BA" w:rsidRDefault="005A5D5C" w:rsidP="00087695">
      <w:pPr>
        <w:spacing w:after="0" w:line="240" w:lineRule="auto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bCs/>
          <w:color w:val="000000" w:themeColor="text1"/>
          <w:sz w:val="24"/>
          <w:szCs w:val="24"/>
        </w:rPr>
        <w:t>Decision No:</w:t>
      </w:r>
      <w:r w:rsidR="000D4ED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F44BA">
        <w:rPr>
          <w:rFonts w:ascii="Arial" w:hAnsi="Arial" w:cs="Arial"/>
          <w:bCs/>
          <w:color w:val="000000" w:themeColor="text1"/>
          <w:sz w:val="24"/>
          <w:szCs w:val="24"/>
        </w:rPr>
        <w:t xml:space="preserve"> C7/24-25(ESA)</w:t>
      </w:r>
    </w:p>
    <w:p w14:paraId="11ED4DE5" w14:textId="77777777" w:rsidR="005A5D5C" w:rsidRDefault="005A5D5C" w:rsidP="000876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69E981D2" w14:textId="77777777" w:rsidR="00087695" w:rsidRPr="00087695" w:rsidRDefault="00087695" w:rsidP="000876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57D1FBA5" w14:textId="77777777" w:rsidR="00C117F2" w:rsidRPr="00087695" w:rsidRDefault="00C117F2" w:rsidP="000876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2DAFD54A" w14:textId="77777777" w:rsidR="005A5D5C" w:rsidRPr="00087695" w:rsidRDefault="005A5D5C" w:rsidP="000876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4D964462" w14:textId="77777777" w:rsidR="005A5D5C" w:rsidRPr="00AF44BA" w:rsidRDefault="005A5D5C" w:rsidP="000876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pacing w:val="-3"/>
          <w:kern w:val="0"/>
          <w:sz w:val="24"/>
          <w:szCs w:val="24"/>
          <w:lang w:val="en-US"/>
        </w:rPr>
      </w:pPr>
      <w:r w:rsidRPr="00AF44BA">
        <w:rPr>
          <w:rFonts w:ascii="Arial" w:eastAsia="Times New Roman" w:hAnsi="Arial" w:cs="Arial"/>
          <w:b/>
          <w:bCs/>
          <w:color w:val="000000" w:themeColor="text1"/>
          <w:spacing w:val="-3"/>
          <w:kern w:val="0"/>
          <w:sz w:val="24"/>
          <w:szCs w:val="24"/>
          <w:lang w:val="en-US"/>
        </w:rPr>
        <w:t>SOCIAL SECURITY ADMINISTRATION (NORTHERN IRELAND) ACT 1992</w:t>
      </w:r>
    </w:p>
    <w:p w14:paraId="18CA4EE7" w14:textId="77777777" w:rsidR="005A5D5C" w:rsidRPr="00AF44BA" w:rsidRDefault="005A5D5C" w:rsidP="000876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2441AB97" w14:textId="77777777" w:rsidR="005A5D5C" w:rsidRPr="00AF44BA" w:rsidRDefault="005A5D5C" w:rsidP="000876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pacing w:val="-3"/>
          <w:kern w:val="0"/>
          <w:sz w:val="24"/>
          <w:szCs w:val="24"/>
          <w:lang w:val="en-US"/>
        </w:rPr>
      </w:pPr>
      <w:r w:rsidRPr="00AF44BA">
        <w:rPr>
          <w:rFonts w:ascii="Arial" w:eastAsia="Times New Roman" w:hAnsi="Arial" w:cs="Arial"/>
          <w:b/>
          <w:bCs/>
          <w:color w:val="000000" w:themeColor="text1"/>
          <w:spacing w:val="-3"/>
          <w:kern w:val="0"/>
          <w:sz w:val="24"/>
          <w:szCs w:val="24"/>
          <w:lang w:val="en-US"/>
        </w:rPr>
        <w:t>SOCIAL SECURITY (NORTHERN IRELAND) ORDER 1998</w:t>
      </w:r>
    </w:p>
    <w:p w14:paraId="06609820" w14:textId="77777777" w:rsidR="005A5D5C" w:rsidRPr="00AF44BA" w:rsidRDefault="005A5D5C" w:rsidP="000876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42B8B60D" w14:textId="77777777" w:rsidR="005A5D5C" w:rsidRPr="00AF44BA" w:rsidRDefault="005A5D5C" w:rsidP="000876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432CF3EE" w14:textId="77777777" w:rsidR="005A5D5C" w:rsidRPr="00AF44BA" w:rsidRDefault="005A5D5C" w:rsidP="00087695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color w:val="000000" w:themeColor="text1"/>
          <w:spacing w:val="-3"/>
          <w:sz w:val="24"/>
          <w:szCs w:val="24"/>
          <w:u w:val="single"/>
        </w:rPr>
      </w:pPr>
      <w:r w:rsidRPr="00AF44BA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  <w:u w:val="single"/>
        </w:rPr>
        <w:t>EMPLOYMENT AND SUPPORT ALLOWANCE</w:t>
      </w:r>
    </w:p>
    <w:p w14:paraId="2E96B7D2" w14:textId="77777777" w:rsidR="005A5D5C" w:rsidRPr="00AF44BA" w:rsidRDefault="005A5D5C" w:rsidP="00087695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6716BC44" w14:textId="77777777" w:rsidR="005A5D5C" w:rsidRPr="00AF44BA" w:rsidRDefault="005A5D5C" w:rsidP="00087695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6E4179C2" w14:textId="77777777" w:rsidR="005A5D5C" w:rsidRPr="00AF44BA" w:rsidRDefault="005A5D5C" w:rsidP="00087695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  <w:r w:rsidRPr="00AF44BA"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  <w:t>Application by the claimant for leave to appeal</w:t>
      </w:r>
    </w:p>
    <w:p w14:paraId="60E8E762" w14:textId="77777777" w:rsidR="005A5D5C" w:rsidRPr="00AF44BA" w:rsidRDefault="005A5D5C" w:rsidP="00087695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  <w:r w:rsidRPr="00AF44BA"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  <w:t>and appeal to a Social Security Commissioner</w:t>
      </w:r>
    </w:p>
    <w:p w14:paraId="6201879F" w14:textId="77777777" w:rsidR="005A5D5C" w:rsidRPr="00AF44BA" w:rsidRDefault="005A5D5C" w:rsidP="00087695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  <w:r w:rsidRPr="00AF44BA"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  <w:t>on a question of law from a Tribunal’s decision</w:t>
      </w:r>
    </w:p>
    <w:p w14:paraId="6FBCC39D" w14:textId="77777777" w:rsidR="005A5D5C" w:rsidRPr="00AF44BA" w:rsidRDefault="005A5D5C" w:rsidP="00087695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  <w:r w:rsidRPr="00AF44BA"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  <w:t>dated 26 April 2024</w:t>
      </w:r>
    </w:p>
    <w:p w14:paraId="37A94A9B" w14:textId="77777777" w:rsidR="005A5D5C" w:rsidRPr="00AF44BA" w:rsidRDefault="005A5D5C" w:rsidP="00087695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749FFDCA" w14:textId="77777777" w:rsidR="005A5D5C" w:rsidRPr="00AF44BA" w:rsidRDefault="005A5D5C" w:rsidP="00087695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</w:p>
    <w:p w14:paraId="38D81449" w14:textId="77777777" w:rsidR="005A5D5C" w:rsidRPr="00AF44BA" w:rsidRDefault="005A5D5C" w:rsidP="00087695">
      <w:pPr>
        <w:widowControl w:val="0"/>
        <w:tabs>
          <w:tab w:val="center" w:pos="451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lang w:val="en-US"/>
        </w:rPr>
      </w:pPr>
      <w:r w:rsidRPr="00AF44BA">
        <w:rPr>
          <w:rFonts w:ascii="Arial" w:eastAsia="Times New Roman" w:hAnsi="Arial" w:cs="Arial"/>
          <w:color w:val="000000" w:themeColor="text1"/>
          <w:spacing w:val="-3"/>
          <w:kern w:val="0"/>
          <w:sz w:val="24"/>
          <w:szCs w:val="24"/>
          <w:u w:val="single"/>
          <w:lang w:val="en-US"/>
        </w:rPr>
        <w:t>DECISION OF THE SOCIAL SECURITY COMMISSIONER</w:t>
      </w:r>
    </w:p>
    <w:p w14:paraId="548F0F8E" w14:textId="77777777" w:rsidR="005A5D5C" w:rsidRPr="00AF44BA" w:rsidRDefault="005A5D5C" w:rsidP="0008769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F54AF07" w14:textId="77777777" w:rsidR="00BC48B2" w:rsidRPr="00AF44BA" w:rsidRDefault="00BC48B2" w:rsidP="000876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ECB5D5C" w14:textId="225333A1" w:rsidR="00C117F2" w:rsidRPr="00AF44BA" w:rsidRDefault="001C6D14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 xml:space="preserve">I give leave to appeal and allow the appeal against the decision of the Appeal Tribunal </w:t>
      </w:r>
      <w:r w:rsidR="00C117F2" w:rsidRPr="00AF44BA">
        <w:rPr>
          <w:rFonts w:ascii="Arial" w:hAnsi="Arial" w:cs="Arial"/>
          <w:color w:val="000000" w:themeColor="text1"/>
          <w:sz w:val="24"/>
          <w:szCs w:val="24"/>
        </w:rPr>
        <w:t xml:space="preserve">(the tribunal) </w:t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 xml:space="preserve">sitting at Ballymena on </w:t>
      </w:r>
      <w:r w:rsidR="00B54011" w:rsidRPr="00AF44BA">
        <w:rPr>
          <w:rFonts w:ascii="Arial" w:hAnsi="Arial" w:cs="Arial"/>
          <w:color w:val="000000" w:themeColor="text1"/>
          <w:sz w:val="24"/>
          <w:szCs w:val="24"/>
        </w:rPr>
        <w:t>26 April 2024</w:t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 xml:space="preserve"> under reference </w:t>
      </w:r>
      <w:r w:rsidR="00B54011" w:rsidRPr="00AF44BA">
        <w:rPr>
          <w:rFonts w:ascii="Arial" w:hAnsi="Arial" w:cs="Arial"/>
          <w:color w:val="000000" w:themeColor="text1"/>
          <w:sz w:val="24"/>
          <w:szCs w:val="24"/>
        </w:rPr>
        <w:t>BM</w:t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>/</w:t>
      </w:r>
      <w:r w:rsidR="00B54011" w:rsidRPr="00AF44BA">
        <w:rPr>
          <w:rFonts w:ascii="Arial" w:hAnsi="Arial" w:cs="Arial"/>
          <w:color w:val="000000" w:themeColor="text1"/>
          <w:sz w:val="24"/>
          <w:szCs w:val="24"/>
        </w:rPr>
        <w:t>583</w:t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>/2</w:t>
      </w:r>
      <w:r w:rsidR="00B54011" w:rsidRPr="00AF44BA">
        <w:rPr>
          <w:rFonts w:ascii="Arial" w:hAnsi="Arial" w:cs="Arial"/>
          <w:color w:val="000000" w:themeColor="text1"/>
          <w:sz w:val="24"/>
          <w:szCs w:val="24"/>
        </w:rPr>
        <w:t>3</w:t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 xml:space="preserve">/51/P.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 xml:space="preserve">That decision </w:t>
      </w:r>
      <w:r w:rsidR="00E03E73" w:rsidRPr="00AF44BA">
        <w:rPr>
          <w:rFonts w:ascii="Arial" w:hAnsi="Arial" w:cs="Arial"/>
          <w:color w:val="000000" w:themeColor="text1"/>
          <w:sz w:val="24"/>
          <w:szCs w:val="24"/>
        </w:rPr>
        <w:t>is</w:t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 xml:space="preserve"> set </w:t>
      </w:r>
      <w:proofErr w:type="gramStart"/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>aside</w:t>
      </w:r>
      <w:proofErr w:type="gramEnd"/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 xml:space="preserve"> and the appeal is remitted to a fresh panel of the </w:t>
      </w:r>
      <w:r w:rsidR="00C117F2" w:rsidRPr="00AF44BA">
        <w:rPr>
          <w:rFonts w:ascii="Arial" w:hAnsi="Arial" w:cs="Arial"/>
          <w:color w:val="000000" w:themeColor="text1"/>
          <w:sz w:val="24"/>
          <w:szCs w:val="24"/>
        </w:rPr>
        <w:t>tribunal</w:t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 xml:space="preserve">, which must be wholly differently constituted.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5FD8" w:rsidRPr="00AF44BA">
        <w:rPr>
          <w:rFonts w:ascii="Arial" w:hAnsi="Arial" w:cs="Arial"/>
          <w:color w:val="000000" w:themeColor="text1"/>
          <w:sz w:val="24"/>
          <w:szCs w:val="24"/>
        </w:rPr>
        <w:t>The new panel will consider the matter entirely afresh; the fact that the appeal before me has been allowed on a point of law should not be understood as indicating the eventual outcome, one way or the other.</w:t>
      </w:r>
    </w:p>
    <w:p w14:paraId="1AC966A5" w14:textId="77777777" w:rsidR="00C117F2" w:rsidRPr="00AF44BA" w:rsidRDefault="00C117F2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7381B6" w14:textId="2B01B783" w:rsidR="007F193D" w:rsidRPr="00AF44BA" w:rsidRDefault="001C6D14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6961E4" w:rsidRPr="00AF44B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544D2E" w:rsidRPr="00AF44BA">
        <w:rPr>
          <w:rFonts w:ascii="Arial" w:hAnsi="Arial" w:cs="Arial"/>
          <w:color w:val="000000" w:themeColor="text1"/>
          <w:sz w:val="24"/>
          <w:szCs w:val="24"/>
        </w:rPr>
        <w:t xml:space="preserve">appellant had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appealed</w:t>
      </w:r>
      <w:r w:rsidR="00544D2E" w:rsidRPr="00AF44BA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106DA0" w:rsidRPr="00AF44BA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544D2E" w:rsidRPr="00AF44BA">
        <w:rPr>
          <w:rFonts w:ascii="Arial" w:hAnsi="Arial" w:cs="Arial"/>
          <w:color w:val="000000" w:themeColor="text1"/>
          <w:sz w:val="24"/>
          <w:szCs w:val="24"/>
        </w:rPr>
        <w:t xml:space="preserve">the tribunal against the </w:t>
      </w:r>
      <w:r w:rsidR="00D76298" w:rsidRPr="00AF44BA">
        <w:rPr>
          <w:rFonts w:ascii="Arial" w:hAnsi="Arial" w:cs="Arial"/>
          <w:color w:val="000000" w:themeColor="text1"/>
          <w:sz w:val="24"/>
          <w:szCs w:val="24"/>
        </w:rPr>
        <w:t xml:space="preserve">decision by the </w:t>
      </w:r>
      <w:r w:rsidR="00544D2E" w:rsidRPr="00AF44BA">
        <w:rPr>
          <w:rFonts w:ascii="Arial" w:hAnsi="Arial" w:cs="Arial"/>
          <w:color w:val="000000" w:themeColor="text1"/>
          <w:sz w:val="24"/>
          <w:szCs w:val="24"/>
        </w:rPr>
        <w:t>Department</w:t>
      </w:r>
      <w:r w:rsidR="00C117F2" w:rsidRPr="00AF44BA">
        <w:rPr>
          <w:rFonts w:ascii="Arial" w:hAnsi="Arial" w:cs="Arial"/>
          <w:color w:val="000000" w:themeColor="text1"/>
          <w:sz w:val="24"/>
          <w:szCs w:val="24"/>
        </w:rPr>
        <w:t xml:space="preserve"> for Communities (the Department)</w:t>
      </w:r>
      <w:r w:rsidR="00544D2E" w:rsidRPr="00AF44BA">
        <w:rPr>
          <w:rFonts w:ascii="Arial" w:hAnsi="Arial" w:cs="Arial"/>
          <w:color w:val="000000" w:themeColor="text1"/>
          <w:sz w:val="24"/>
          <w:szCs w:val="24"/>
        </w:rPr>
        <w:t xml:space="preserve"> dated 28 December 2022 that </w:t>
      </w:r>
      <w:r w:rsidR="000E10D4" w:rsidRPr="00AF44BA">
        <w:rPr>
          <w:rFonts w:ascii="Arial" w:hAnsi="Arial" w:cs="Arial"/>
          <w:color w:val="000000" w:themeColor="text1"/>
          <w:sz w:val="24"/>
          <w:szCs w:val="24"/>
        </w:rPr>
        <w:t xml:space="preserve">she did not have limited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capability</w:t>
      </w:r>
      <w:r w:rsidR="000E10D4" w:rsidRPr="00AF44BA">
        <w:rPr>
          <w:rFonts w:ascii="Arial" w:hAnsi="Arial" w:cs="Arial"/>
          <w:color w:val="000000" w:themeColor="text1"/>
          <w:sz w:val="24"/>
          <w:szCs w:val="24"/>
        </w:rPr>
        <w:t xml:space="preserve"> for work</w:t>
      </w:r>
      <w:r w:rsidR="00CF3C1E" w:rsidRPr="00AF44BA">
        <w:rPr>
          <w:rFonts w:ascii="Arial" w:hAnsi="Arial" w:cs="Arial"/>
          <w:color w:val="000000" w:themeColor="text1"/>
          <w:sz w:val="24"/>
          <w:szCs w:val="24"/>
        </w:rPr>
        <w:t xml:space="preserve"> (LCW) or limited capability for work related activity (LCWRA).</w:t>
      </w:r>
      <w:r w:rsidR="001B78E0" w:rsidRPr="00AF44BA">
        <w:rPr>
          <w:rFonts w:ascii="Arial" w:hAnsi="Arial" w:cs="Arial"/>
          <w:color w:val="000000" w:themeColor="text1"/>
          <w:sz w:val="24"/>
          <w:szCs w:val="24"/>
        </w:rPr>
        <w:t xml:space="preserve">  The tribunal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concluded</w:t>
      </w:r>
      <w:r w:rsidR="001B78E0" w:rsidRPr="00AF44BA">
        <w:rPr>
          <w:rFonts w:ascii="Arial" w:hAnsi="Arial" w:cs="Arial"/>
          <w:color w:val="000000" w:themeColor="text1"/>
          <w:sz w:val="24"/>
          <w:szCs w:val="24"/>
        </w:rPr>
        <w:t xml:space="preserve"> that she did have LCW but did not have</w:t>
      </w:r>
      <w:r w:rsidR="00263136" w:rsidRPr="00AF44BA">
        <w:rPr>
          <w:rFonts w:ascii="Arial" w:hAnsi="Arial" w:cs="Arial"/>
          <w:color w:val="000000" w:themeColor="text1"/>
          <w:sz w:val="24"/>
          <w:szCs w:val="24"/>
        </w:rPr>
        <w:t xml:space="preserve">, nor </w:t>
      </w:r>
      <w:r w:rsidR="00865D2F" w:rsidRPr="00AF44BA">
        <w:rPr>
          <w:rFonts w:ascii="Arial" w:hAnsi="Arial" w:cs="Arial"/>
          <w:color w:val="000000" w:themeColor="text1"/>
          <w:sz w:val="24"/>
          <w:szCs w:val="24"/>
        </w:rPr>
        <w:t xml:space="preserve">could </w:t>
      </w:r>
      <w:r w:rsidR="00263136" w:rsidRPr="00AF44BA">
        <w:rPr>
          <w:rFonts w:ascii="Arial" w:hAnsi="Arial" w:cs="Arial"/>
          <w:color w:val="000000" w:themeColor="text1"/>
          <w:sz w:val="24"/>
          <w:szCs w:val="24"/>
        </w:rPr>
        <w:t>be treated as having, LCWRA.</w:t>
      </w:r>
      <w:r w:rsidR="00DF1A0E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1A0E" w:rsidRPr="00AF44BA">
        <w:rPr>
          <w:rFonts w:ascii="Arial" w:hAnsi="Arial" w:cs="Arial"/>
          <w:color w:val="000000" w:themeColor="text1"/>
          <w:sz w:val="24"/>
          <w:szCs w:val="24"/>
        </w:rPr>
        <w:t xml:space="preserve">It awarded </w:t>
      </w:r>
      <w:r w:rsidR="003C47DD" w:rsidRPr="00AF44BA">
        <w:rPr>
          <w:rFonts w:ascii="Arial" w:hAnsi="Arial" w:cs="Arial"/>
          <w:color w:val="000000" w:themeColor="text1"/>
          <w:sz w:val="24"/>
          <w:szCs w:val="24"/>
        </w:rPr>
        <w:t xml:space="preserve">6 points </w:t>
      </w:r>
      <w:r w:rsidR="009302A1" w:rsidRPr="00AF44BA">
        <w:rPr>
          <w:rFonts w:ascii="Arial" w:hAnsi="Arial" w:cs="Arial"/>
          <w:color w:val="000000" w:themeColor="text1"/>
          <w:sz w:val="24"/>
          <w:szCs w:val="24"/>
        </w:rPr>
        <w:t xml:space="preserve">each </w:t>
      </w:r>
      <w:r w:rsidR="003C47DD" w:rsidRPr="00AF44BA">
        <w:rPr>
          <w:rFonts w:ascii="Arial" w:hAnsi="Arial" w:cs="Arial"/>
          <w:color w:val="000000" w:themeColor="text1"/>
          <w:sz w:val="24"/>
          <w:szCs w:val="24"/>
        </w:rPr>
        <w:t xml:space="preserve">for activity 4 (picking up </w:t>
      </w:r>
      <w:r w:rsidR="00163947" w:rsidRPr="00AF44BA">
        <w:rPr>
          <w:rFonts w:ascii="Arial" w:hAnsi="Arial" w:cs="Arial"/>
          <w:color w:val="000000" w:themeColor="text1"/>
          <w:sz w:val="24"/>
          <w:szCs w:val="24"/>
        </w:rPr>
        <w:t>and</w:t>
      </w:r>
      <w:r w:rsidR="003C47DD" w:rsidRPr="00AF44BA">
        <w:rPr>
          <w:rFonts w:ascii="Arial" w:hAnsi="Arial" w:cs="Arial"/>
          <w:color w:val="000000" w:themeColor="text1"/>
          <w:sz w:val="24"/>
          <w:szCs w:val="24"/>
        </w:rPr>
        <w:t xml:space="preserve"> moving or tra</w:t>
      </w:r>
      <w:r w:rsidR="00163947" w:rsidRPr="00AF44BA">
        <w:rPr>
          <w:rFonts w:ascii="Arial" w:hAnsi="Arial" w:cs="Arial"/>
          <w:color w:val="000000" w:themeColor="text1"/>
          <w:sz w:val="24"/>
          <w:szCs w:val="24"/>
        </w:rPr>
        <w:t>nsferring</w:t>
      </w:r>
      <w:r w:rsidR="003C47DD" w:rsidRPr="00AF44BA">
        <w:rPr>
          <w:rFonts w:ascii="Arial" w:hAnsi="Arial" w:cs="Arial"/>
          <w:color w:val="000000" w:themeColor="text1"/>
          <w:sz w:val="24"/>
          <w:szCs w:val="24"/>
        </w:rPr>
        <w:t xml:space="preserve"> by use of the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upper body</w:t>
      </w:r>
      <w:r w:rsidR="003C47DD" w:rsidRPr="00AF44BA">
        <w:rPr>
          <w:rFonts w:ascii="Arial" w:hAnsi="Arial" w:cs="Arial"/>
          <w:color w:val="000000" w:themeColor="text1"/>
          <w:sz w:val="24"/>
          <w:szCs w:val="24"/>
        </w:rPr>
        <w:t xml:space="preserve"> and arms)</w:t>
      </w:r>
      <w:r w:rsidR="009302A1" w:rsidRPr="00AF44BA">
        <w:rPr>
          <w:rFonts w:ascii="Arial" w:hAnsi="Arial" w:cs="Arial"/>
          <w:color w:val="000000" w:themeColor="text1"/>
          <w:sz w:val="24"/>
          <w:szCs w:val="24"/>
        </w:rPr>
        <w:t>, activity 15 (getting about) and activity 16 (coping with social engagement</w:t>
      </w:r>
      <w:r w:rsidR="00017CE2" w:rsidRPr="00AF44BA">
        <w:rPr>
          <w:rFonts w:ascii="Arial" w:hAnsi="Arial" w:cs="Arial"/>
          <w:color w:val="000000" w:themeColor="text1"/>
          <w:sz w:val="24"/>
          <w:szCs w:val="24"/>
        </w:rPr>
        <w:t xml:space="preserve"> due to cognitive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impairment</w:t>
      </w:r>
      <w:r w:rsidR="00017CE2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3947" w:rsidRPr="00AF44BA">
        <w:rPr>
          <w:rFonts w:ascii="Arial" w:hAnsi="Arial" w:cs="Arial"/>
          <w:color w:val="000000" w:themeColor="text1"/>
          <w:sz w:val="24"/>
          <w:szCs w:val="24"/>
        </w:rPr>
        <w:t>o</w:t>
      </w:r>
      <w:r w:rsidR="00017CE2" w:rsidRPr="00AF44BA">
        <w:rPr>
          <w:rFonts w:ascii="Arial" w:hAnsi="Arial" w:cs="Arial"/>
          <w:color w:val="000000" w:themeColor="text1"/>
          <w:sz w:val="24"/>
          <w:szCs w:val="24"/>
        </w:rPr>
        <w:t>r mental disorder</w:t>
      </w:r>
      <w:r w:rsidR="00163947" w:rsidRPr="00AF44BA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5943FEAE" w14:textId="77777777" w:rsidR="007F193D" w:rsidRPr="00AF44BA" w:rsidRDefault="007F193D" w:rsidP="001C6D14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208E31B4" w14:textId="6D3BD454" w:rsidR="00D35F65" w:rsidRPr="00AF44BA" w:rsidRDefault="001C6D14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57AFC" w:rsidRPr="00AF44BA">
        <w:rPr>
          <w:rFonts w:ascii="Arial" w:hAnsi="Arial" w:cs="Arial"/>
          <w:color w:val="000000" w:themeColor="text1"/>
          <w:sz w:val="24"/>
          <w:szCs w:val="24"/>
        </w:rPr>
        <w:t>Th</w:t>
      </w:r>
      <w:r w:rsidR="00852737" w:rsidRPr="00AF44BA">
        <w:rPr>
          <w:rFonts w:ascii="Arial" w:hAnsi="Arial" w:cs="Arial"/>
          <w:color w:val="000000" w:themeColor="text1"/>
          <w:sz w:val="24"/>
          <w:szCs w:val="24"/>
        </w:rPr>
        <w:t xml:space="preserve">e appellant’s representative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from</w:t>
      </w:r>
      <w:r w:rsidR="00852737" w:rsidRPr="00AF44BA">
        <w:rPr>
          <w:rFonts w:ascii="Arial" w:hAnsi="Arial" w:cs="Arial"/>
          <w:color w:val="000000" w:themeColor="text1"/>
          <w:sz w:val="24"/>
          <w:szCs w:val="24"/>
        </w:rPr>
        <w:t xml:space="preserve"> Law Centre NI </w:t>
      </w:r>
      <w:r w:rsidR="00FB12B6" w:rsidRPr="00AF44BA">
        <w:rPr>
          <w:rFonts w:ascii="Arial" w:hAnsi="Arial" w:cs="Arial"/>
          <w:color w:val="000000" w:themeColor="text1"/>
          <w:sz w:val="24"/>
          <w:szCs w:val="24"/>
        </w:rPr>
        <w:t xml:space="preserve">had put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forward</w:t>
      </w:r>
      <w:r w:rsidR="00FB12B6" w:rsidRPr="00AF44BA">
        <w:rPr>
          <w:rFonts w:ascii="Arial" w:hAnsi="Arial" w:cs="Arial"/>
          <w:color w:val="000000" w:themeColor="text1"/>
          <w:sz w:val="24"/>
          <w:szCs w:val="24"/>
        </w:rPr>
        <w:t xml:space="preserve"> a written submission that</w:t>
      </w:r>
      <w:r w:rsidR="007F193D" w:rsidRPr="00AF44B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A158DBA" w14:textId="77777777" w:rsidR="007F193D" w:rsidRPr="00AF44BA" w:rsidRDefault="007F193D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EAC90C" w14:textId="77777777" w:rsidR="00FB12B6" w:rsidRPr="00AF44BA" w:rsidRDefault="00FB12B6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gramStart"/>
      <w:r w:rsidRPr="00AF44BA">
        <w:rPr>
          <w:rFonts w:ascii="Arial" w:hAnsi="Arial" w:cs="Arial"/>
          <w:color w:val="000000" w:themeColor="text1"/>
          <w:sz w:val="24"/>
          <w:szCs w:val="24"/>
        </w:rPr>
        <w:t>the</w:t>
      </w:r>
      <w:proofErr w:type="gramEnd"/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 application of Regulation 31 </w:t>
      </w:r>
      <w:r w:rsidR="00D76298" w:rsidRPr="00AF44BA">
        <w:rPr>
          <w:rFonts w:ascii="Arial" w:hAnsi="Arial" w:cs="Arial"/>
          <w:color w:val="000000" w:themeColor="text1"/>
          <w:sz w:val="24"/>
          <w:szCs w:val="24"/>
        </w:rPr>
        <w:t xml:space="preserve">[i.e. of the Employment and Support Allowance Regulations (Northern Ireland) 2016] 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be considered </w:t>
      </w:r>
      <w:r w:rsidR="002218EE" w:rsidRPr="00AF44BA">
        <w:rPr>
          <w:rFonts w:ascii="Arial" w:hAnsi="Arial" w:cs="Arial"/>
          <w:color w:val="000000" w:themeColor="text1"/>
          <w:sz w:val="24"/>
          <w:szCs w:val="24"/>
        </w:rPr>
        <w:t>should sufficient points not be</w:t>
      </w:r>
      <w:r w:rsidR="00112554" w:rsidRPr="00AF44BA">
        <w:rPr>
          <w:rFonts w:ascii="Arial" w:hAnsi="Arial" w:cs="Arial"/>
          <w:color w:val="000000" w:themeColor="text1"/>
          <w:sz w:val="24"/>
          <w:szCs w:val="24"/>
        </w:rPr>
        <w:t>ing</w:t>
      </w:r>
      <w:r w:rsidR="002218EE" w:rsidRPr="00AF44BA">
        <w:rPr>
          <w:rFonts w:ascii="Arial" w:hAnsi="Arial" w:cs="Arial"/>
          <w:color w:val="000000" w:themeColor="text1"/>
          <w:sz w:val="24"/>
          <w:szCs w:val="24"/>
        </w:rPr>
        <w:t xml:space="preserve"> awarded under Schedule 2 or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transference</w:t>
      </w:r>
      <w:r w:rsidR="002218EE" w:rsidRPr="00AF44BA">
        <w:rPr>
          <w:rFonts w:ascii="Arial" w:hAnsi="Arial" w:cs="Arial"/>
          <w:color w:val="000000" w:themeColor="text1"/>
          <w:sz w:val="24"/>
          <w:szCs w:val="24"/>
        </w:rPr>
        <w:t xml:space="preserve"> under Schedule 3.</w:t>
      </w:r>
    </w:p>
    <w:p w14:paraId="052FBF35" w14:textId="77777777" w:rsidR="00112554" w:rsidRPr="00AF44BA" w:rsidRDefault="00112554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C712D2" w14:textId="77777777" w:rsidR="002218EE" w:rsidRPr="00AF44BA" w:rsidRDefault="002218EE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The Court in </w:t>
      </w:r>
      <w:r w:rsidR="00D76298" w:rsidRPr="00AF44BA">
        <w:rPr>
          <w:rFonts w:ascii="Arial" w:hAnsi="Arial" w:cs="Arial"/>
          <w:color w:val="000000" w:themeColor="text1"/>
          <w:sz w:val="24"/>
          <w:szCs w:val="24"/>
        </w:rPr>
        <w:t>[</w:t>
      </w:r>
      <w:r w:rsidRPr="00AF44BA">
        <w:rPr>
          <w:rFonts w:ascii="Arial" w:hAnsi="Arial" w:cs="Arial"/>
          <w:i/>
          <w:iCs/>
          <w:color w:val="000000" w:themeColor="text1"/>
          <w:sz w:val="24"/>
          <w:szCs w:val="24"/>
        </w:rPr>
        <w:t>Charlton</w:t>
      </w:r>
      <w:r w:rsidR="00D76298" w:rsidRPr="00AF44B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v Secretary of State for Work and Pensions</w:t>
      </w:r>
      <w:r w:rsidR="00D76298" w:rsidRPr="00AF44BA">
        <w:rPr>
          <w:rFonts w:ascii="Arial" w:hAnsi="Arial" w:cs="Arial"/>
          <w:color w:val="000000" w:themeColor="text1"/>
          <w:sz w:val="24"/>
          <w:szCs w:val="24"/>
        </w:rPr>
        <w:t xml:space="preserve"> [2009] EWCA </w:t>
      </w:r>
      <w:proofErr w:type="spellStart"/>
      <w:r w:rsidR="00D76298" w:rsidRPr="00AF44BA">
        <w:rPr>
          <w:rFonts w:ascii="Arial" w:hAnsi="Arial" w:cs="Arial"/>
          <w:color w:val="000000" w:themeColor="text1"/>
          <w:sz w:val="24"/>
          <w:szCs w:val="24"/>
        </w:rPr>
        <w:t>Civ</w:t>
      </w:r>
      <w:proofErr w:type="spellEnd"/>
      <w:r w:rsidR="00D76298" w:rsidRPr="00AF44BA">
        <w:rPr>
          <w:rFonts w:ascii="Arial" w:hAnsi="Arial" w:cs="Arial"/>
          <w:color w:val="000000" w:themeColor="text1"/>
          <w:sz w:val="24"/>
          <w:szCs w:val="24"/>
        </w:rPr>
        <w:t xml:space="preserve"> 42]</w:t>
      </w:r>
      <w:r w:rsidR="00435848" w:rsidRPr="00AF44BA">
        <w:rPr>
          <w:rFonts w:ascii="Arial" w:hAnsi="Arial" w:cs="Arial"/>
          <w:color w:val="000000" w:themeColor="text1"/>
          <w:sz w:val="24"/>
          <w:szCs w:val="24"/>
        </w:rPr>
        <w:t xml:space="preserve"> highlighted that in some cases (but probably not many) the mere giving of a negative decision </w:t>
      </w:r>
      <w:r w:rsidR="00C804AF" w:rsidRPr="00AF44BA">
        <w:rPr>
          <w:rFonts w:ascii="Arial" w:hAnsi="Arial" w:cs="Arial"/>
          <w:color w:val="000000" w:themeColor="text1"/>
          <w:sz w:val="24"/>
          <w:szCs w:val="24"/>
        </w:rPr>
        <w:t xml:space="preserve">may </w:t>
      </w:r>
      <w:proofErr w:type="gramStart"/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in itself</w:t>
      </w:r>
      <w:r w:rsidR="00C804AF" w:rsidRPr="00AF44BA">
        <w:rPr>
          <w:rFonts w:ascii="Arial" w:hAnsi="Arial" w:cs="Arial"/>
          <w:color w:val="000000" w:themeColor="text1"/>
          <w:sz w:val="24"/>
          <w:szCs w:val="24"/>
        </w:rPr>
        <w:t xml:space="preserve"> create</w:t>
      </w:r>
      <w:proofErr w:type="gramEnd"/>
      <w:r w:rsidR="00112554" w:rsidRPr="00AF44B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C804AF" w:rsidRPr="00AF44BA">
        <w:rPr>
          <w:rFonts w:ascii="Arial" w:hAnsi="Arial" w:cs="Arial"/>
          <w:color w:val="000000" w:themeColor="text1"/>
          <w:sz w:val="24"/>
          <w:szCs w:val="24"/>
        </w:rPr>
        <w:t xml:space="preserve">substantial </w:t>
      </w:r>
      <w:r w:rsidR="00893F63" w:rsidRPr="00AF44BA">
        <w:rPr>
          <w:rFonts w:ascii="Arial" w:hAnsi="Arial" w:cs="Arial"/>
          <w:color w:val="000000" w:themeColor="text1"/>
          <w:sz w:val="24"/>
          <w:szCs w:val="24"/>
        </w:rPr>
        <w:t>risk that</w:t>
      </w:r>
      <w:r w:rsidR="00C804AF" w:rsidRPr="00AF44BA">
        <w:rPr>
          <w:rFonts w:ascii="Arial" w:hAnsi="Arial" w:cs="Arial"/>
          <w:color w:val="000000" w:themeColor="text1"/>
          <w:sz w:val="24"/>
          <w:szCs w:val="24"/>
        </w:rPr>
        <w:t xml:space="preserve"> would mean reg 29(2)(b)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was satisfied</w:t>
      </w:r>
      <w:r w:rsidR="00783C31" w:rsidRPr="00AF44B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729CF77" w14:textId="77777777" w:rsidR="00112554" w:rsidRPr="00AF44BA" w:rsidRDefault="00112554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A08E583" w14:textId="77777777" w:rsidR="00783C31" w:rsidRPr="00AF44BA" w:rsidRDefault="00112554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ind w:left="1797" w:right="17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‘</w:t>
      </w:r>
      <w:proofErr w:type="gramStart"/>
      <w:r w:rsidR="00783C31" w:rsidRPr="00AF44BA">
        <w:rPr>
          <w:rFonts w:ascii="Arial" w:hAnsi="Arial" w:cs="Arial"/>
          <w:color w:val="000000" w:themeColor="text1"/>
          <w:sz w:val="24"/>
          <w:szCs w:val="24"/>
        </w:rPr>
        <w:t>where</w:t>
      </w:r>
      <w:proofErr w:type="gramEnd"/>
      <w:r w:rsidR="00783C31" w:rsidRPr="00AF44BA">
        <w:rPr>
          <w:rFonts w:ascii="Arial" w:hAnsi="Arial" w:cs="Arial"/>
          <w:color w:val="000000" w:themeColor="text1"/>
          <w:sz w:val="24"/>
          <w:szCs w:val="24"/>
        </w:rPr>
        <w:t xml:space="preserve"> the very finding of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capability</w:t>
      </w:r>
      <w:r w:rsidR="00783C31" w:rsidRPr="00AF44BA">
        <w:rPr>
          <w:rFonts w:ascii="Arial" w:hAnsi="Arial" w:cs="Arial"/>
          <w:color w:val="000000" w:themeColor="text1"/>
          <w:sz w:val="24"/>
          <w:szCs w:val="24"/>
        </w:rPr>
        <w:t xml:space="preserve"> might create a substantial risk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to</w:t>
      </w:r>
      <w:r w:rsidR="00783C31" w:rsidRPr="00AF44BA">
        <w:rPr>
          <w:rFonts w:ascii="Arial" w:hAnsi="Arial" w:cs="Arial"/>
          <w:color w:val="000000" w:themeColor="text1"/>
          <w:sz w:val="24"/>
          <w:szCs w:val="24"/>
        </w:rPr>
        <w:t xml:space="preserve"> a claimant’s health or that o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f</w:t>
      </w:r>
      <w:r w:rsidR="00783C31" w:rsidRPr="00AF44BA">
        <w:rPr>
          <w:rFonts w:ascii="Arial" w:hAnsi="Arial" w:cs="Arial"/>
          <w:color w:val="000000" w:themeColor="text1"/>
          <w:sz w:val="24"/>
          <w:szCs w:val="24"/>
        </w:rPr>
        <w:t xml:space="preserve"> others</w:t>
      </w:r>
      <w:r w:rsidR="00AA45DE" w:rsidRPr="00AF44BA">
        <w:rPr>
          <w:rFonts w:ascii="Arial" w:hAnsi="Arial" w:cs="Arial"/>
          <w:color w:val="000000" w:themeColor="text1"/>
          <w:sz w:val="24"/>
          <w:szCs w:val="24"/>
        </w:rPr>
        <w:t xml:space="preserve">, for example where a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claimant</w:t>
      </w:r>
      <w:r w:rsidR="00AA45DE" w:rsidRPr="00AF44BA">
        <w:rPr>
          <w:rFonts w:ascii="Arial" w:hAnsi="Arial" w:cs="Arial"/>
          <w:color w:val="000000" w:themeColor="text1"/>
          <w:sz w:val="24"/>
          <w:szCs w:val="24"/>
        </w:rPr>
        <w:t xml:space="preserve"> suffering from anxiety or depression might suffer a </w:t>
      </w:r>
      <w:r w:rsidR="00675C46" w:rsidRPr="00AF44BA">
        <w:rPr>
          <w:rFonts w:ascii="Arial" w:hAnsi="Arial" w:cs="Arial"/>
          <w:color w:val="000000" w:themeColor="text1"/>
          <w:sz w:val="24"/>
          <w:szCs w:val="24"/>
        </w:rPr>
        <w:t>significant</w:t>
      </w:r>
      <w:r w:rsidR="00AA45DE" w:rsidRPr="00AF44BA">
        <w:rPr>
          <w:rFonts w:ascii="Arial" w:hAnsi="Arial" w:cs="Arial"/>
          <w:color w:val="000000" w:themeColor="text1"/>
          <w:sz w:val="24"/>
          <w:szCs w:val="24"/>
        </w:rPr>
        <w:t xml:space="preserve"> deterioration on being told that the ben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efit</w:t>
      </w:r>
      <w:r w:rsidR="00AA45DE" w:rsidRPr="00AF44BA">
        <w:rPr>
          <w:rFonts w:ascii="Arial" w:hAnsi="Arial" w:cs="Arial"/>
          <w:color w:val="000000" w:themeColor="text1"/>
          <w:sz w:val="24"/>
          <w:szCs w:val="24"/>
        </w:rPr>
        <w:t xml:space="preserve"> claimed was </w:t>
      </w:r>
      <w:r w:rsidR="004F0920" w:rsidRPr="00AF44BA">
        <w:rPr>
          <w:rFonts w:ascii="Arial" w:hAnsi="Arial" w:cs="Arial"/>
          <w:color w:val="000000" w:themeColor="text1"/>
          <w:sz w:val="24"/>
          <w:szCs w:val="24"/>
        </w:rPr>
        <w:t>being</w:t>
      </w:r>
      <w:r w:rsidR="00AA45DE" w:rsidRPr="00AF44BA">
        <w:rPr>
          <w:rFonts w:ascii="Arial" w:hAnsi="Arial" w:cs="Arial"/>
          <w:color w:val="000000" w:themeColor="text1"/>
          <w:sz w:val="24"/>
          <w:szCs w:val="24"/>
        </w:rPr>
        <w:t xml:space="preserve"> refused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’</w:t>
      </w:r>
      <w:r w:rsidR="003213D0" w:rsidRPr="00AF44BA">
        <w:rPr>
          <w:rFonts w:ascii="Arial" w:hAnsi="Arial" w:cs="Arial"/>
          <w:color w:val="000000" w:themeColor="text1"/>
          <w:sz w:val="24"/>
          <w:szCs w:val="24"/>
        </w:rPr>
        <w:t xml:space="preserve"> (para 34).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4259D843" w14:textId="77777777" w:rsidR="00112554" w:rsidRPr="00AF44BA" w:rsidRDefault="00112554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CA5DFB" w14:textId="363FE597" w:rsidR="00D76298" w:rsidRPr="00AF44BA" w:rsidRDefault="009868E8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D76298" w:rsidRPr="00AF44BA">
        <w:rPr>
          <w:rFonts w:ascii="Arial" w:hAnsi="Arial" w:cs="Arial"/>
          <w:color w:val="000000" w:themeColor="text1"/>
          <w:sz w:val="24"/>
          <w:szCs w:val="24"/>
        </w:rPr>
        <w:t>Regulation 31(2) provides:</w:t>
      </w:r>
    </w:p>
    <w:p w14:paraId="6D841F47" w14:textId="77777777" w:rsidR="00D76298" w:rsidRPr="00AF44BA" w:rsidRDefault="00D76298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B0D05F" w14:textId="348CE64F" w:rsidR="00D76298" w:rsidRDefault="00D76298" w:rsidP="009868E8">
      <w:pPr>
        <w:tabs>
          <w:tab w:val="left" w:pos="510"/>
          <w:tab w:val="left" w:pos="1077"/>
          <w:tab w:val="left" w:pos="1701"/>
          <w:tab w:val="left" w:pos="2268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“(2)</w:t>
      </w:r>
      <w:r w:rsidR="009868E8">
        <w:rPr>
          <w:rFonts w:ascii="Arial" w:hAnsi="Arial" w:cs="Arial"/>
          <w:color w:val="000000" w:themeColor="text1"/>
          <w:sz w:val="24"/>
          <w:szCs w:val="24"/>
        </w:rPr>
        <w:tab/>
      </w:r>
      <w:r w:rsidRPr="00AF44BA">
        <w:rPr>
          <w:rFonts w:ascii="Arial" w:hAnsi="Arial" w:cs="Arial"/>
          <w:color w:val="000000" w:themeColor="text1"/>
          <w:sz w:val="24"/>
          <w:szCs w:val="24"/>
        </w:rPr>
        <w:t>A claimant who does not have limited capability for work-related activity as determined in accordance with regulation 30(1) is to be treated as having limited capability for work-related activity if –</w:t>
      </w:r>
    </w:p>
    <w:p w14:paraId="33FF46D5" w14:textId="77777777" w:rsidR="009868E8" w:rsidRPr="00AF44BA" w:rsidRDefault="009868E8" w:rsidP="009868E8">
      <w:pPr>
        <w:tabs>
          <w:tab w:val="left" w:pos="510"/>
          <w:tab w:val="left" w:pos="1077"/>
          <w:tab w:val="left" w:pos="1701"/>
          <w:tab w:val="left" w:pos="2268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367D71" w14:textId="6C69DE5F" w:rsidR="00D76298" w:rsidRDefault="009868E8" w:rsidP="009868E8">
      <w:pPr>
        <w:tabs>
          <w:tab w:val="left" w:pos="510"/>
          <w:tab w:val="left" w:pos="1077"/>
          <w:tab w:val="left" w:pos="1701"/>
          <w:tab w:val="left" w:pos="2268"/>
        </w:tabs>
        <w:spacing w:after="0" w:line="240" w:lineRule="auto"/>
        <w:ind w:left="2268" w:right="1077" w:hanging="119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(a)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D76298" w:rsidRPr="00AF44BA">
        <w:rPr>
          <w:rFonts w:ascii="Arial" w:hAnsi="Arial" w:cs="Arial"/>
          <w:color w:val="000000" w:themeColor="text1"/>
          <w:sz w:val="24"/>
          <w:szCs w:val="24"/>
        </w:rPr>
        <w:t>the claimant suffers from some specific disease or bodily or mental disablement; and</w:t>
      </w:r>
    </w:p>
    <w:p w14:paraId="02124CCD" w14:textId="77777777" w:rsidR="009868E8" w:rsidRPr="00AF44BA" w:rsidRDefault="009868E8" w:rsidP="009868E8">
      <w:pPr>
        <w:tabs>
          <w:tab w:val="left" w:pos="510"/>
          <w:tab w:val="left" w:pos="1077"/>
          <w:tab w:val="left" w:pos="1701"/>
          <w:tab w:val="left" w:pos="2268"/>
        </w:tabs>
        <w:spacing w:after="0" w:line="240" w:lineRule="auto"/>
        <w:ind w:left="2268" w:right="1077" w:hanging="119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7722FB" w14:textId="3484D946" w:rsidR="00D76298" w:rsidRPr="00AF44BA" w:rsidRDefault="009868E8" w:rsidP="009868E8">
      <w:pPr>
        <w:tabs>
          <w:tab w:val="left" w:pos="510"/>
          <w:tab w:val="left" w:pos="1077"/>
          <w:tab w:val="left" w:pos="1701"/>
          <w:tab w:val="left" w:pos="2268"/>
        </w:tabs>
        <w:spacing w:after="0" w:line="240" w:lineRule="auto"/>
        <w:ind w:left="2268" w:right="1077" w:hanging="119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(b)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D76298" w:rsidRPr="00AF44BA">
        <w:rPr>
          <w:rFonts w:ascii="Arial" w:hAnsi="Arial" w:cs="Arial"/>
          <w:color w:val="000000" w:themeColor="text1"/>
          <w:sz w:val="24"/>
          <w:szCs w:val="24"/>
        </w:rPr>
        <w:t>by reason of such disease or disablement, there would be a substantial risk to the mental or physical health of any person if the claimant were found not to have limited capability for work-related activity.”</w:t>
      </w:r>
    </w:p>
    <w:p w14:paraId="7085CEBC" w14:textId="77777777" w:rsidR="00D76298" w:rsidRPr="00AF44BA" w:rsidRDefault="00D76298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58F8D5" w14:textId="2353702A" w:rsidR="00112554" w:rsidRPr="00AF44BA" w:rsidRDefault="008411F1" w:rsidP="008D335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F6675" w:rsidRPr="00AF44BA">
        <w:rPr>
          <w:rFonts w:ascii="Arial" w:hAnsi="Arial" w:cs="Arial"/>
          <w:color w:val="000000" w:themeColor="text1"/>
          <w:sz w:val="24"/>
          <w:szCs w:val="24"/>
        </w:rPr>
        <w:t>The medical evidence highlighted</w:t>
      </w:r>
      <w:r w:rsidR="004B4F12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2A89" w:rsidRPr="00AF44BA">
        <w:rPr>
          <w:rFonts w:ascii="Arial" w:hAnsi="Arial" w:cs="Arial"/>
          <w:color w:val="000000" w:themeColor="text1"/>
          <w:sz w:val="24"/>
          <w:szCs w:val="24"/>
        </w:rPr>
        <w:t xml:space="preserve">in the </w:t>
      </w:r>
      <w:r w:rsidR="004F0920" w:rsidRPr="00AF44BA">
        <w:rPr>
          <w:rFonts w:ascii="Arial" w:hAnsi="Arial" w:cs="Arial"/>
          <w:color w:val="000000" w:themeColor="text1"/>
          <w:sz w:val="24"/>
          <w:szCs w:val="24"/>
        </w:rPr>
        <w:t>submission</w:t>
      </w:r>
      <w:r w:rsidR="002F2A89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4F12" w:rsidRPr="00AF44BA">
        <w:rPr>
          <w:rFonts w:ascii="Arial" w:hAnsi="Arial" w:cs="Arial"/>
          <w:color w:val="000000" w:themeColor="text1"/>
          <w:sz w:val="24"/>
          <w:szCs w:val="24"/>
        </w:rPr>
        <w:t xml:space="preserve">referred almost exclusively to the </w:t>
      </w:r>
      <w:r w:rsidR="004F0920" w:rsidRPr="00AF44BA">
        <w:rPr>
          <w:rFonts w:ascii="Arial" w:hAnsi="Arial" w:cs="Arial"/>
          <w:color w:val="000000" w:themeColor="text1"/>
          <w:sz w:val="24"/>
          <w:szCs w:val="24"/>
        </w:rPr>
        <w:t>appellant’s</w:t>
      </w:r>
      <w:r w:rsidR="004B4F12" w:rsidRPr="00AF44BA">
        <w:rPr>
          <w:rFonts w:ascii="Arial" w:hAnsi="Arial" w:cs="Arial"/>
          <w:color w:val="000000" w:themeColor="text1"/>
          <w:sz w:val="24"/>
          <w:szCs w:val="24"/>
        </w:rPr>
        <w:t xml:space="preserve"> physical conditions</w:t>
      </w:r>
      <w:r w:rsidR="0072310A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12554" w:rsidRPr="00AF44B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72310A" w:rsidRPr="00AF44BA">
        <w:rPr>
          <w:rFonts w:ascii="Arial" w:hAnsi="Arial" w:cs="Arial"/>
          <w:color w:val="000000" w:themeColor="text1"/>
          <w:sz w:val="24"/>
          <w:szCs w:val="24"/>
        </w:rPr>
        <w:t>shoulder tendonitis, cervical spondylosis, low back pain and sciatica</w:t>
      </w:r>
      <w:r w:rsidR="00F230F3" w:rsidRPr="00AF44BA">
        <w:rPr>
          <w:rFonts w:ascii="Arial" w:hAnsi="Arial" w:cs="Arial"/>
          <w:color w:val="000000" w:themeColor="text1"/>
          <w:sz w:val="24"/>
          <w:szCs w:val="24"/>
        </w:rPr>
        <w:t xml:space="preserve"> though these were said</w:t>
      </w:r>
      <w:r w:rsidR="004111B0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1B34" w:rsidRPr="00AF44B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111B0" w:rsidRPr="00AF44BA">
        <w:rPr>
          <w:rFonts w:ascii="Arial" w:hAnsi="Arial" w:cs="Arial"/>
          <w:color w:val="000000" w:themeColor="text1"/>
          <w:sz w:val="24"/>
          <w:szCs w:val="24"/>
        </w:rPr>
        <w:t>without further detail</w:t>
      </w:r>
      <w:r w:rsidR="00BB239D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11B34" w:rsidRPr="00AF44B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F0920" w:rsidRPr="00AF44BA">
        <w:rPr>
          <w:rFonts w:ascii="Arial" w:hAnsi="Arial" w:cs="Arial"/>
          <w:color w:val="000000" w:themeColor="text1"/>
          <w:sz w:val="24"/>
          <w:szCs w:val="24"/>
        </w:rPr>
        <w:t>to</w:t>
      </w:r>
      <w:r w:rsidR="00BB239D" w:rsidRPr="00AF44BA">
        <w:rPr>
          <w:rFonts w:ascii="Arial" w:hAnsi="Arial" w:cs="Arial"/>
          <w:color w:val="000000" w:themeColor="text1"/>
          <w:sz w:val="24"/>
          <w:szCs w:val="24"/>
        </w:rPr>
        <w:t xml:space="preserve"> have affected her mental health</w:t>
      </w:r>
      <w:r w:rsidR="00897C4C" w:rsidRPr="00AF44B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D33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3886" w:rsidRPr="00AF44BA">
        <w:rPr>
          <w:rFonts w:ascii="Arial" w:hAnsi="Arial" w:cs="Arial"/>
          <w:color w:val="000000" w:themeColor="text1"/>
          <w:sz w:val="24"/>
          <w:szCs w:val="24"/>
        </w:rPr>
        <w:t xml:space="preserve">As regards the physical </w:t>
      </w:r>
      <w:r w:rsidR="004F0920" w:rsidRPr="00AF44BA">
        <w:rPr>
          <w:rFonts w:ascii="Arial" w:hAnsi="Arial" w:cs="Arial"/>
          <w:color w:val="000000" w:themeColor="text1"/>
          <w:sz w:val="24"/>
          <w:szCs w:val="24"/>
        </w:rPr>
        <w:t>issues</w:t>
      </w:r>
      <w:r w:rsidR="00603886" w:rsidRPr="00AF44BA">
        <w:rPr>
          <w:rFonts w:ascii="Arial" w:hAnsi="Arial" w:cs="Arial"/>
          <w:color w:val="000000" w:themeColor="text1"/>
          <w:sz w:val="24"/>
          <w:szCs w:val="24"/>
        </w:rPr>
        <w:t xml:space="preserve">, the evidence was that </w:t>
      </w:r>
      <w:r w:rsidR="008767B7" w:rsidRPr="00AF44BA">
        <w:rPr>
          <w:rFonts w:ascii="Arial" w:hAnsi="Arial" w:cs="Arial"/>
          <w:color w:val="000000" w:themeColor="text1"/>
          <w:sz w:val="24"/>
          <w:szCs w:val="24"/>
        </w:rPr>
        <w:t>they were “unlikely to improve enough to allow [the appellant] to return to work”</w:t>
      </w:r>
      <w:r w:rsidR="00A41A93" w:rsidRPr="00AF44BA">
        <w:rPr>
          <w:rFonts w:ascii="Arial" w:hAnsi="Arial" w:cs="Arial"/>
          <w:color w:val="000000" w:themeColor="text1"/>
          <w:sz w:val="24"/>
          <w:szCs w:val="24"/>
        </w:rPr>
        <w:t xml:space="preserve"> and that “future retirement </w:t>
      </w:r>
      <w:r w:rsidR="00011B34" w:rsidRPr="00AF44BA">
        <w:rPr>
          <w:rFonts w:ascii="Arial" w:hAnsi="Arial" w:cs="Arial"/>
          <w:color w:val="000000" w:themeColor="text1"/>
          <w:sz w:val="24"/>
          <w:szCs w:val="24"/>
        </w:rPr>
        <w:t>o</w:t>
      </w:r>
      <w:r w:rsidR="00A41A93" w:rsidRPr="00AF44BA">
        <w:rPr>
          <w:rFonts w:ascii="Arial" w:hAnsi="Arial" w:cs="Arial"/>
          <w:color w:val="000000" w:themeColor="text1"/>
          <w:sz w:val="24"/>
          <w:szCs w:val="24"/>
        </w:rPr>
        <w:t>n medical grounds should definitely be considered”.</w:t>
      </w:r>
      <w:r w:rsidR="00C54CDC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33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4CDC" w:rsidRPr="00AF44BA">
        <w:rPr>
          <w:rFonts w:ascii="Arial" w:hAnsi="Arial" w:cs="Arial"/>
          <w:color w:val="000000" w:themeColor="text1"/>
          <w:sz w:val="24"/>
          <w:szCs w:val="24"/>
        </w:rPr>
        <w:t xml:space="preserve">As the case is </w:t>
      </w:r>
      <w:r w:rsidR="00C91228" w:rsidRPr="00AF44BA">
        <w:rPr>
          <w:rFonts w:ascii="Arial" w:hAnsi="Arial" w:cs="Arial"/>
          <w:color w:val="000000" w:themeColor="text1"/>
          <w:sz w:val="24"/>
          <w:szCs w:val="24"/>
        </w:rPr>
        <w:t>being</w:t>
      </w:r>
      <w:r w:rsidR="00C54CDC" w:rsidRPr="00AF44BA">
        <w:rPr>
          <w:rFonts w:ascii="Arial" w:hAnsi="Arial" w:cs="Arial"/>
          <w:color w:val="000000" w:themeColor="text1"/>
          <w:sz w:val="24"/>
          <w:szCs w:val="24"/>
        </w:rPr>
        <w:t xml:space="preserve"> remitted</w:t>
      </w:r>
      <w:r w:rsidR="00C91228" w:rsidRPr="00AF44BA">
        <w:rPr>
          <w:rFonts w:ascii="Arial" w:hAnsi="Arial" w:cs="Arial"/>
          <w:color w:val="000000" w:themeColor="text1"/>
          <w:sz w:val="24"/>
          <w:szCs w:val="24"/>
        </w:rPr>
        <w:t>, I do</w:t>
      </w:r>
      <w:r w:rsidR="004F0920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3F63" w:rsidRPr="00AF44BA">
        <w:rPr>
          <w:rFonts w:ascii="Arial" w:hAnsi="Arial" w:cs="Arial"/>
          <w:color w:val="000000" w:themeColor="text1"/>
          <w:sz w:val="24"/>
          <w:szCs w:val="24"/>
        </w:rPr>
        <w:t>not</w:t>
      </w:r>
      <w:r w:rsidR="00C91228" w:rsidRPr="00AF44BA">
        <w:rPr>
          <w:rFonts w:ascii="Arial" w:hAnsi="Arial" w:cs="Arial"/>
          <w:color w:val="000000" w:themeColor="text1"/>
          <w:sz w:val="24"/>
          <w:szCs w:val="24"/>
        </w:rPr>
        <w:t xml:space="preserve"> comment further on the evidence</w:t>
      </w:r>
      <w:r w:rsidR="00112554" w:rsidRPr="00AF44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84EEB01" w14:textId="77777777" w:rsidR="00112554" w:rsidRPr="00AF44BA" w:rsidRDefault="00112554" w:rsidP="008D335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9A6738" w14:textId="13FB3A31" w:rsidR="007B0799" w:rsidRPr="00AF44BA" w:rsidRDefault="008D335B" w:rsidP="008D335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6.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085E00" w:rsidRPr="00AF44BA">
        <w:rPr>
          <w:rFonts w:ascii="Arial" w:hAnsi="Arial" w:cs="Arial"/>
          <w:color w:val="000000" w:themeColor="text1"/>
          <w:sz w:val="24"/>
          <w:szCs w:val="24"/>
        </w:rPr>
        <w:t>Neither t</w:t>
      </w:r>
      <w:r w:rsidR="0068120C" w:rsidRPr="00AF44BA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2C55C1" w:rsidRPr="00AF44BA">
        <w:rPr>
          <w:rFonts w:ascii="Arial" w:hAnsi="Arial" w:cs="Arial"/>
          <w:color w:val="000000" w:themeColor="text1"/>
          <w:sz w:val="24"/>
          <w:szCs w:val="24"/>
        </w:rPr>
        <w:t>tribunal’s</w:t>
      </w:r>
      <w:r w:rsidR="0068120C" w:rsidRPr="00AF44BA">
        <w:rPr>
          <w:rFonts w:ascii="Arial" w:hAnsi="Arial" w:cs="Arial"/>
          <w:color w:val="000000" w:themeColor="text1"/>
          <w:sz w:val="24"/>
          <w:szCs w:val="24"/>
        </w:rPr>
        <w:t xml:space="preserve"> record of proceedings</w:t>
      </w:r>
      <w:r w:rsidR="00085E00" w:rsidRPr="00AF44BA">
        <w:rPr>
          <w:rFonts w:ascii="Arial" w:hAnsi="Arial" w:cs="Arial"/>
          <w:color w:val="000000" w:themeColor="text1"/>
          <w:sz w:val="24"/>
          <w:szCs w:val="24"/>
        </w:rPr>
        <w:t xml:space="preserve"> nor the note taken by the </w:t>
      </w:r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appellant’s</w:t>
      </w:r>
      <w:r w:rsidR="00085E00" w:rsidRPr="00AF44BA">
        <w:rPr>
          <w:rFonts w:ascii="Arial" w:hAnsi="Arial" w:cs="Arial"/>
          <w:color w:val="000000" w:themeColor="text1"/>
          <w:sz w:val="24"/>
          <w:szCs w:val="24"/>
        </w:rPr>
        <w:t xml:space="preserve"> re</w:t>
      </w:r>
      <w:r w:rsidR="002C55C1" w:rsidRPr="00AF44BA">
        <w:rPr>
          <w:rFonts w:ascii="Arial" w:hAnsi="Arial" w:cs="Arial"/>
          <w:color w:val="000000" w:themeColor="text1"/>
          <w:sz w:val="24"/>
          <w:szCs w:val="24"/>
        </w:rPr>
        <w:t>presentative</w:t>
      </w:r>
      <w:r w:rsidR="00085E00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429" w:rsidRPr="00AF44BA">
        <w:rPr>
          <w:rFonts w:ascii="Arial" w:hAnsi="Arial" w:cs="Arial"/>
          <w:color w:val="000000" w:themeColor="text1"/>
          <w:sz w:val="24"/>
          <w:szCs w:val="24"/>
        </w:rPr>
        <w:t xml:space="preserve">suggest that the </w:t>
      </w:r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basis</w:t>
      </w:r>
      <w:r w:rsidR="00274429" w:rsidRPr="00AF44BA">
        <w:rPr>
          <w:rFonts w:ascii="Arial" w:hAnsi="Arial" w:cs="Arial"/>
          <w:color w:val="000000" w:themeColor="text1"/>
          <w:sz w:val="24"/>
          <w:szCs w:val="24"/>
        </w:rPr>
        <w:t xml:space="preserve"> on which reg 31(2</w:t>
      </w:r>
      <w:r w:rsidR="00D90E69" w:rsidRPr="00AF44BA">
        <w:rPr>
          <w:rFonts w:ascii="Arial" w:hAnsi="Arial" w:cs="Arial"/>
          <w:color w:val="000000" w:themeColor="text1"/>
          <w:sz w:val="24"/>
          <w:szCs w:val="24"/>
        </w:rPr>
        <w:t>)(</w:t>
      </w:r>
      <w:r w:rsidR="00274429" w:rsidRPr="00AF44BA">
        <w:rPr>
          <w:rFonts w:ascii="Arial" w:hAnsi="Arial" w:cs="Arial"/>
          <w:color w:val="000000" w:themeColor="text1"/>
          <w:sz w:val="24"/>
          <w:szCs w:val="24"/>
        </w:rPr>
        <w:t xml:space="preserve">b) was </w:t>
      </w:r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being</w:t>
      </w:r>
      <w:r w:rsidR="00274429" w:rsidRPr="00AF44BA">
        <w:rPr>
          <w:rFonts w:ascii="Arial" w:hAnsi="Arial" w:cs="Arial"/>
          <w:color w:val="000000" w:themeColor="text1"/>
          <w:sz w:val="24"/>
          <w:szCs w:val="24"/>
        </w:rPr>
        <w:t xml:space="preserve"> submitted to apply was developed</w:t>
      </w:r>
      <w:r w:rsidR="00C5394C" w:rsidRPr="00AF44BA">
        <w:rPr>
          <w:rFonts w:ascii="Arial" w:hAnsi="Arial" w:cs="Arial"/>
          <w:color w:val="000000" w:themeColor="text1"/>
          <w:sz w:val="24"/>
          <w:szCs w:val="24"/>
        </w:rPr>
        <w:t xml:space="preserve"> or made more explicit</w:t>
      </w:r>
      <w:r w:rsidR="00CE2FDD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during</w:t>
      </w:r>
      <w:r w:rsidR="00CE2FDD" w:rsidRPr="00AF44BA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D90E69" w:rsidRPr="00AF44BA">
        <w:rPr>
          <w:rFonts w:ascii="Arial" w:hAnsi="Arial" w:cs="Arial"/>
          <w:color w:val="000000" w:themeColor="text1"/>
          <w:sz w:val="24"/>
          <w:szCs w:val="24"/>
        </w:rPr>
        <w:t>h</w:t>
      </w:r>
      <w:r w:rsidR="00CE2FDD" w:rsidRPr="00AF44BA">
        <w:rPr>
          <w:rFonts w:ascii="Arial" w:hAnsi="Arial" w:cs="Arial"/>
          <w:color w:val="000000" w:themeColor="text1"/>
          <w:sz w:val="24"/>
          <w:szCs w:val="24"/>
        </w:rPr>
        <w:t>earing.</w:t>
      </w:r>
    </w:p>
    <w:p w14:paraId="5C76B1B9" w14:textId="77777777" w:rsidR="007B0799" w:rsidRPr="00AF44BA" w:rsidRDefault="007B0799" w:rsidP="008D335B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508CF301" w14:textId="1F554617" w:rsidR="00CE2FDD" w:rsidRPr="00AF44BA" w:rsidRDefault="008D335B" w:rsidP="008D335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7.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E2FDD" w:rsidRPr="00AF44B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tribunal’s</w:t>
      </w:r>
      <w:r w:rsidR="00E40E2F" w:rsidRPr="00AF44BA">
        <w:rPr>
          <w:rFonts w:ascii="Arial" w:hAnsi="Arial" w:cs="Arial"/>
          <w:color w:val="000000" w:themeColor="text1"/>
          <w:sz w:val="24"/>
          <w:szCs w:val="24"/>
        </w:rPr>
        <w:t xml:space="preserve"> reasoning on LCWRA was brief:</w:t>
      </w:r>
    </w:p>
    <w:p w14:paraId="4A533D50" w14:textId="77777777" w:rsidR="007B0799" w:rsidRPr="00AF44BA" w:rsidRDefault="007B0799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63F8A1" w14:textId="77777777" w:rsidR="007B0799" w:rsidRDefault="00E40E2F" w:rsidP="00A57FAD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“The tribunal awarded no points under schedule </w:t>
      </w:r>
      <w:r w:rsidR="008B439E" w:rsidRPr="00AF44BA">
        <w:rPr>
          <w:rFonts w:ascii="Arial" w:hAnsi="Arial" w:cs="Arial"/>
          <w:color w:val="000000" w:themeColor="text1"/>
          <w:sz w:val="24"/>
          <w:szCs w:val="24"/>
        </w:rPr>
        <w:t>3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 and d</w:t>
      </w:r>
      <w:r w:rsidR="00D90E69" w:rsidRPr="00AF44BA">
        <w:rPr>
          <w:rFonts w:ascii="Arial" w:hAnsi="Arial" w:cs="Arial"/>
          <w:color w:val="000000" w:themeColor="text1"/>
          <w:sz w:val="24"/>
          <w:szCs w:val="24"/>
        </w:rPr>
        <w:t>id not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 accept that the appellant was entitled to be placed in the support </w:t>
      </w:r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group</w:t>
      </w:r>
      <w:r w:rsidR="00E37FD5" w:rsidRPr="00AF44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553E4E" w14:textId="77777777" w:rsidR="00A57FAD" w:rsidRPr="00AF44BA" w:rsidRDefault="00A57FAD" w:rsidP="00A57FAD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463F22" w14:textId="77777777" w:rsidR="00E37FD5" w:rsidRPr="00AF44BA" w:rsidRDefault="00E37FD5" w:rsidP="00A57FAD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Also, </w:t>
      </w:r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Regulation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 31 did </w:t>
      </w:r>
      <w:r w:rsidR="002C55C1" w:rsidRPr="00AF44BA">
        <w:rPr>
          <w:rFonts w:ascii="Arial" w:hAnsi="Arial" w:cs="Arial"/>
          <w:color w:val="000000" w:themeColor="text1"/>
          <w:sz w:val="24"/>
          <w:szCs w:val="24"/>
        </w:rPr>
        <w:t>not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 apply.”</w:t>
      </w:r>
    </w:p>
    <w:p w14:paraId="45F0E4ED" w14:textId="77777777" w:rsidR="007B0799" w:rsidRPr="00AF44BA" w:rsidRDefault="007B0799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8B2F64" w14:textId="0C3E06E1" w:rsidR="004D173B" w:rsidRPr="00AF44BA" w:rsidRDefault="00A57FAD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8.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147A2" w:rsidRPr="00AF44B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appellant</w:t>
      </w:r>
      <w:r w:rsidR="002147A2" w:rsidRPr="00AF44BA">
        <w:rPr>
          <w:rFonts w:ascii="Arial" w:hAnsi="Arial" w:cs="Arial"/>
          <w:color w:val="000000" w:themeColor="text1"/>
          <w:sz w:val="24"/>
          <w:szCs w:val="24"/>
        </w:rPr>
        <w:t xml:space="preserve"> appeals </w:t>
      </w:r>
      <w:r w:rsidR="00265269" w:rsidRPr="00AF44BA">
        <w:rPr>
          <w:rFonts w:ascii="Arial" w:hAnsi="Arial" w:cs="Arial"/>
          <w:color w:val="000000" w:themeColor="text1"/>
          <w:sz w:val="24"/>
          <w:szCs w:val="24"/>
        </w:rPr>
        <w:t>o</w:t>
      </w:r>
      <w:r w:rsidR="002147A2" w:rsidRPr="00AF44BA">
        <w:rPr>
          <w:rFonts w:ascii="Arial" w:hAnsi="Arial" w:cs="Arial"/>
          <w:color w:val="000000" w:themeColor="text1"/>
          <w:sz w:val="24"/>
          <w:szCs w:val="24"/>
        </w:rPr>
        <w:t>n two grounds</w:t>
      </w:r>
      <w:r w:rsidR="002C7318" w:rsidRPr="00AF44B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7A5DA43" w14:textId="77777777" w:rsidR="007B0799" w:rsidRPr="00AF44BA" w:rsidRDefault="007B0799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00B2E208" w14:textId="327DC230" w:rsidR="002C7318" w:rsidRDefault="006A47DD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2C7318" w:rsidRPr="00AF44BA">
        <w:rPr>
          <w:rFonts w:ascii="Arial" w:hAnsi="Arial" w:cs="Arial"/>
          <w:color w:val="000000" w:themeColor="text1"/>
          <w:sz w:val="24"/>
          <w:szCs w:val="24"/>
        </w:rPr>
        <w:t xml:space="preserve">a. the appeal tribunal </w:t>
      </w:r>
      <w:proofErr w:type="spellStart"/>
      <w:r w:rsidR="002C55C1" w:rsidRPr="00AF44BA">
        <w:rPr>
          <w:rFonts w:ascii="Arial" w:hAnsi="Arial" w:cs="Arial"/>
          <w:color w:val="000000" w:themeColor="text1"/>
          <w:sz w:val="24"/>
          <w:szCs w:val="24"/>
        </w:rPr>
        <w:t>misrecorded</w:t>
      </w:r>
      <w:proofErr w:type="spellEnd"/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,</w:t>
      </w:r>
      <w:r w:rsidR="00EE01E7" w:rsidRPr="00AF44BA">
        <w:rPr>
          <w:rFonts w:ascii="Arial" w:hAnsi="Arial" w:cs="Arial"/>
          <w:color w:val="000000" w:themeColor="text1"/>
          <w:sz w:val="24"/>
          <w:szCs w:val="24"/>
        </w:rPr>
        <w:t xml:space="preserve"> and so </w:t>
      </w:r>
      <w:r w:rsidR="00893F63" w:rsidRPr="00AF44BA">
        <w:rPr>
          <w:rFonts w:ascii="Arial" w:hAnsi="Arial" w:cs="Arial"/>
          <w:color w:val="000000" w:themeColor="text1"/>
          <w:sz w:val="24"/>
          <w:szCs w:val="24"/>
        </w:rPr>
        <w:t>failed</w:t>
      </w:r>
      <w:r w:rsidR="00EE01E7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55C1" w:rsidRPr="00AF44BA">
        <w:rPr>
          <w:rFonts w:ascii="Arial" w:hAnsi="Arial" w:cs="Arial"/>
          <w:color w:val="000000" w:themeColor="text1"/>
          <w:sz w:val="24"/>
          <w:szCs w:val="24"/>
        </w:rPr>
        <w:t>to</w:t>
      </w:r>
      <w:r w:rsidR="00EE01E7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EE01E7" w:rsidRPr="00AF44BA">
        <w:rPr>
          <w:rFonts w:ascii="Arial" w:hAnsi="Arial" w:cs="Arial"/>
          <w:color w:val="000000" w:themeColor="text1"/>
          <w:sz w:val="24"/>
          <w:szCs w:val="24"/>
        </w:rPr>
        <w:t xml:space="preserve">take </w:t>
      </w:r>
      <w:r w:rsidR="00265269" w:rsidRPr="00AF44BA">
        <w:rPr>
          <w:rFonts w:ascii="Arial" w:hAnsi="Arial" w:cs="Arial"/>
          <w:color w:val="000000" w:themeColor="text1"/>
          <w:sz w:val="24"/>
          <w:szCs w:val="24"/>
        </w:rPr>
        <w:t>into</w:t>
      </w:r>
      <w:r w:rsidR="00EE01E7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3F63" w:rsidRPr="00AF44BA">
        <w:rPr>
          <w:rFonts w:ascii="Arial" w:hAnsi="Arial" w:cs="Arial"/>
          <w:color w:val="000000" w:themeColor="text1"/>
          <w:sz w:val="24"/>
          <w:szCs w:val="24"/>
        </w:rPr>
        <w:t>account</w:t>
      </w:r>
      <w:proofErr w:type="gramEnd"/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E01E7" w:rsidRPr="00AF44BA">
        <w:rPr>
          <w:rFonts w:ascii="Arial" w:hAnsi="Arial" w:cs="Arial"/>
          <w:color w:val="000000" w:themeColor="text1"/>
          <w:sz w:val="24"/>
          <w:szCs w:val="24"/>
        </w:rPr>
        <w:t xml:space="preserve">relevant </w:t>
      </w:r>
      <w:r w:rsidR="002C55C1" w:rsidRPr="00AF44BA">
        <w:rPr>
          <w:rFonts w:ascii="Arial" w:hAnsi="Arial" w:cs="Arial"/>
          <w:color w:val="000000" w:themeColor="text1"/>
          <w:sz w:val="24"/>
          <w:szCs w:val="24"/>
        </w:rPr>
        <w:t>evidence</w:t>
      </w:r>
      <w:r w:rsidR="00265269" w:rsidRPr="00AF44BA">
        <w:rPr>
          <w:rFonts w:ascii="Arial" w:hAnsi="Arial" w:cs="Arial"/>
          <w:color w:val="000000" w:themeColor="text1"/>
          <w:sz w:val="24"/>
          <w:szCs w:val="24"/>
        </w:rPr>
        <w:t>; and</w:t>
      </w:r>
    </w:p>
    <w:p w14:paraId="22135358" w14:textId="77777777" w:rsidR="006A47DD" w:rsidRPr="00AF44BA" w:rsidRDefault="006A47DD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60E64" w14:textId="5A71148F" w:rsidR="00EE01E7" w:rsidRPr="00AF44BA" w:rsidRDefault="006A47DD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E01E7" w:rsidRPr="00AF44BA">
        <w:rPr>
          <w:rFonts w:ascii="Arial" w:hAnsi="Arial" w:cs="Arial"/>
          <w:color w:val="000000" w:themeColor="text1"/>
          <w:sz w:val="24"/>
          <w:szCs w:val="24"/>
        </w:rPr>
        <w:t xml:space="preserve">b. the tribunal gave </w:t>
      </w:r>
      <w:r w:rsidR="00131E5F" w:rsidRPr="00AF44BA">
        <w:rPr>
          <w:rFonts w:ascii="Arial" w:hAnsi="Arial" w:cs="Arial"/>
          <w:color w:val="000000" w:themeColor="text1"/>
          <w:sz w:val="24"/>
          <w:szCs w:val="24"/>
        </w:rPr>
        <w:t>insufficient</w:t>
      </w:r>
      <w:r w:rsidR="00EE01E7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C55C1" w:rsidRPr="00AF44BA">
        <w:rPr>
          <w:rFonts w:ascii="Arial" w:hAnsi="Arial" w:cs="Arial"/>
          <w:color w:val="000000" w:themeColor="text1"/>
          <w:sz w:val="24"/>
          <w:szCs w:val="24"/>
        </w:rPr>
        <w:t>reasons</w:t>
      </w:r>
      <w:r w:rsidR="00EE01E7" w:rsidRPr="00AF44BA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893F63" w:rsidRPr="00AF44BA">
        <w:rPr>
          <w:rFonts w:ascii="Arial" w:hAnsi="Arial" w:cs="Arial"/>
          <w:color w:val="000000" w:themeColor="text1"/>
          <w:sz w:val="24"/>
          <w:szCs w:val="24"/>
        </w:rPr>
        <w:t>holding</w:t>
      </w:r>
      <w:r w:rsidR="00136742" w:rsidRPr="00AF44BA">
        <w:rPr>
          <w:rFonts w:ascii="Arial" w:hAnsi="Arial" w:cs="Arial"/>
          <w:color w:val="000000" w:themeColor="text1"/>
          <w:sz w:val="24"/>
          <w:szCs w:val="24"/>
        </w:rPr>
        <w:t xml:space="preserve"> that reg 31 did not apply.</w:t>
      </w:r>
    </w:p>
    <w:p w14:paraId="3CB30917" w14:textId="77777777" w:rsidR="007B0799" w:rsidRPr="00AF44BA" w:rsidRDefault="007B0799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3B7098D6" w14:textId="1BBFCB34" w:rsidR="007B0799" w:rsidRPr="00AF44BA" w:rsidRDefault="006A47DD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36742" w:rsidRPr="00AF44BA">
        <w:rPr>
          <w:rFonts w:ascii="Arial" w:hAnsi="Arial" w:cs="Arial"/>
          <w:color w:val="000000" w:themeColor="text1"/>
          <w:sz w:val="24"/>
          <w:szCs w:val="24"/>
        </w:rPr>
        <w:t>I</w:t>
      </w:r>
      <w:r w:rsidR="00195787" w:rsidRPr="00AF44BA">
        <w:rPr>
          <w:rFonts w:ascii="Arial" w:hAnsi="Arial" w:cs="Arial"/>
          <w:color w:val="000000" w:themeColor="text1"/>
          <w:sz w:val="24"/>
          <w:szCs w:val="24"/>
        </w:rPr>
        <w:t>n</w:t>
      </w:r>
      <w:r w:rsidR="00136742" w:rsidRPr="00AF44BA">
        <w:rPr>
          <w:rFonts w:ascii="Arial" w:hAnsi="Arial" w:cs="Arial"/>
          <w:color w:val="000000" w:themeColor="text1"/>
          <w:sz w:val="24"/>
          <w:szCs w:val="24"/>
        </w:rPr>
        <w:t xml:space="preserve"> the usual way, the </w:t>
      </w:r>
      <w:r w:rsidR="0017154D" w:rsidRPr="00AF44BA">
        <w:rPr>
          <w:rFonts w:ascii="Arial" w:hAnsi="Arial" w:cs="Arial"/>
          <w:color w:val="000000" w:themeColor="text1"/>
          <w:sz w:val="24"/>
          <w:szCs w:val="24"/>
        </w:rPr>
        <w:t>a</w:t>
      </w:r>
      <w:r w:rsidR="00195787" w:rsidRPr="00AF44BA">
        <w:rPr>
          <w:rFonts w:ascii="Arial" w:hAnsi="Arial" w:cs="Arial"/>
          <w:color w:val="000000" w:themeColor="text1"/>
          <w:sz w:val="24"/>
          <w:szCs w:val="24"/>
        </w:rPr>
        <w:t>p</w:t>
      </w:r>
      <w:r w:rsidR="0017154D" w:rsidRPr="00AF44BA">
        <w:rPr>
          <w:rFonts w:ascii="Arial" w:hAnsi="Arial" w:cs="Arial"/>
          <w:color w:val="000000" w:themeColor="text1"/>
          <w:sz w:val="24"/>
          <w:szCs w:val="24"/>
        </w:rPr>
        <w:t>p</w:t>
      </w:r>
      <w:r w:rsidR="00195787" w:rsidRPr="00AF44BA">
        <w:rPr>
          <w:rFonts w:ascii="Arial" w:hAnsi="Arial" w:cs="Arial"/>
          <w:color w:val="000000" w:themeColor="text1"/>
          <w:sz w:val="24"/>
          <w:szCs w:val="24"/>
        </w:rPr>
        <w:t>lication</w:t>
      </w:r>
      <w:r w:rsidR="00136742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93F63" w:rsidRPr="00AF44BA">
        <w:rPr>
          <w:rFonts w:ascii="Arial" w:hAnsi="Arial" w:cs="Arial"/>
          <w:color w:val="000000" w:themeColor="text1"/>
          <w:sz w:val="24"/>
          <w:szCs w:val="24"/>
        </w:rPr>
        <w:t>for</w:t>
      </w:r>
      <w:r w:rsidR="00136742" w:rsidRPr="00AF44BA">
        <w:rPr>
          <w:rFonts w:ascii="Arial" w:hAnsi="Arial" w:cs="Arial"/>
          <w:color w:val="000000" w:themeColor="text1"/>
          <w:sz w:val="24"/>
          <w:szCs w:val="24"/>
        </w:rPr>
        <w:t xml:space="preserve"> leave w</w:t>
      </w:r>
      <w:r w:rsidR="00195787" w:rsidRPr="00AF44BA">
        <w:rPr>
          <w:rFonts w:ascii="Arial" w:hAnsi="Arial" w:cs="Arial"/>
          <w:color w:val="000000" w:themeColor="text1"/>
          <w:sz w:val="24"/>
          <w:szCs w:val="24"/>
        </w:rPr>
        <w:t>a</w:t>
      </w:r>
      <w:r w:rsidR="00136742" w:rsidRPr="00AF44BA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427D63" w:rsidRPr="00AF44BA">
        <w:rPr>
          <w:rFonts w:ascii="Arial" w:hAnsi="Arial" w:cs="Arial"/>
          <w:color w:val="000000" w:themeColor="text1"/>
          <w:sz w:val="24"/>
          <w:szCs w:val="24"/>
        </w:rPr>
        <w:t xml:space="preserve">sent to the </w:t>
      </w:r>
      <w:r w:rsidR="00893F63" w:rsidRPr="00AF44BA">
        <w:rPr>
          <w:rFonts w:ascii="Arial" w:hAnsi="Arial" w:cs="Arial"/>
          <w:color w:val="000000" w:themeColor="text1"/>
          <w:sz w:val="24"/>
          <w:szCs w:val="24"/>
        </w:rPr>
        <w:t>Department</w:t>
      </w:r>
      <w:r w:rsidR="00427D63" w:rsidRPr="00AF44BA">
        <w:rPr>
          <w:rFonts w:ascii="Arial" w:hAnsi="Arial" w:cs="Arial"/>
          <w:color w:val="000000" w:themeColor="text1"/>
          <w:sz w:val="24"/>
          <w:szCs w:val="24"/>
        </w:rPr>
        <w:t xml:space="preserve"> for </w:t>
      </w:r>
      <w:r w:rsidR="0017154D" w:rsidRPr="00AF44BA">
        <w:rPr>
          <w:rFonts w:ascii="Arial" w:hAnsi="Arial" w:cs="Arial"/>
          <w:color w:val="000000" w:themeColor="text1"/>
          <w:sz w:val="24"/>
          <w:szCs w:val="24"/>
        </w:rPr>
        <w:t>comment</w:t>
      </w:r>
      <w:r w:rsidR="005F5C35" w:rsidRPr="00AF44BA">
        <w:rPr>
          <w:rFonts w:ascii="Arial" w:hAnsi="Arial" w:cs="Arial"/>
          <w:color w:val="000000" w:themeColor="text1"/>
          <w:sz w:val="24"/>
          <w:szCs w:val="24"/>
        </w:rPr>
        <w:t xml:space="preserve"> and in a </w:t>
      </w:r>
      <w:r w:rsidR="0017154D" w:rsidRPr="00AF44BA">
        <w:rPr>
          <w:rFonts w:ascii="Arial" w:hAnsi="Arial" w:cs="Arial"/>
          <w:color w:val="000000" w:themeColor="text1"/>
          <w:sz w:val="24"/>
          <w:szCs w:val="24"/>
        </w:rPr>
        <w:t>submission</w:t>
      </w:r>
      <w:r w:rsidR="005F5C35" w:rsidRPr="00AF44BA">
        <w:rPr>
          <w:rFonts w:ascii="Arial" w:hAnsi="Arial" w:cs="Arial"/>
          <w:color w:val="000000" w:themeColor="text1"/>
          <w:sz w:val="24"/>
          <w:szCs w:val="24"/>
        </w:rPr>
        <w:t xml:space="preserve"> dated 23 </w:t>
      </w:r>
      <w:r w:rsidR="00195787" w:rsidRPr="00AF44BA">
        <w:rPr>
          <w:rFonts w:ascii="Arial" w:hAnsi="Arial" w:cs="Arial"/>
          <w:color w:val="000000" w:themeColor="text1"/>
          <w:sz w:val="24"/>
          <w:szCs w:val="24"/>
        </w:rPr>
        <w:t>October</w:t>
      </w:r>
      <w:r w:rsidR="005F5C35" w:rsidRPr="00AF44BA">
        <w:rPr>
          <w:rFonts w:ascii="Arial" w:hAnsi="Arial" w:cs="Arial"/>
          <w:color w:val="000000" w:themeColor="text1"/>
          <w:sz w:val="24"/>
          <w:szCs w:val="24"/>
        </w:rPr>
        <w:t xml:space="preserve"> 2024 Davy McKendry indicated that the Department did not support the appeal on ground a. but did so on ground b.</w:t>
      </w:r>
    </w:p>
    <w:p w14:paraId="69A42FA4" w14:textId="77777777" w:rsidR="007B0799" w:rsidRPr="00AF44BA" w:rsidRDefault="007B0799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C4A7FA" w14:textId="3AFFB794" w:rsidR="007B0799" w:rsidRPr="00AF44BA" w:rsidRDefault="006A47DD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BC0CED" w:rsidRPr="00AF44BA">
        <w:rPr>
          <w:rFonts w:ascii="Arial" w:hAnsi="Arial" w:cs="Arial"/>
          <w:color w:val="000000" w:themeColor="text1"/>
          <w:sz w:val="24"/>
          <w:szCs w:val="24"/>
        </w:rPr>
        <w:t xml:space="preserve">As I am allowing </w:t>
      </w:r>
      <w:r w:rsidR="001D16E1" w:rsidRPr="00AF44BA">
        <w:rPr>
          <w:rFonts w:ascii="Arial" w:hAnsi="Arial" w:cs="Arial"/>
          <w:color w:val="000000" w:themeColor="text1"/>
          <w:sz w:val="24"/>
          <w:szCs w:val="24"/>
        </w:rPr>
        <w:t>the</w:t>
      </w:r>
      <w:r w:rsidR="00BC0CED" w:rsidRPr="00AF44BA">
        <w:rPr>
          <w:rFonts w:ascii="Arial" w:hAnsi="Arial" w:cs="Arial"/>
          <w:color w:val="000000" w:themeColor="text1"/>
          <w:sz w:val="24"/>
          <w:szCs w:val="24"/>
        </w:rPr>
        <w:t xml:space="preserve"> appeal on ground b., I </w:t>
      </w:r>
      <w:r w:rsidR="003138B2" w:rsidRPr="00AF44BA">
        <w:rPr>
          <w:rFonts w:ascii="Arial" w:hAnsi="Arial" w:cs="Arial"/>
          <w:color w:val="000000" w:themeColor="text1"/>
          <w:sz w:val="24"/>
          <w:szCs w:val="24"/>
        </w:rPr>
        <w:t>need not dwell on ground a., beyond observing that even if the tribunal did make the mistake alleged (</w:t>
      </w:r>
      <w:r w:rsidR="000576CC" w:rsidRPr="00AF44BA">
        <w:rPr>
          <w:rFonts w:ascii="Arial" w:hAnsi="Arial" w:cs="Arial"/>
          <w:color w:val="000000" w:themeColor="text1"/>
          <w:sz w:val="24"/>
          <w:szCs w:val="24"/>
        </w:rPr>
        <w:t>omitting a vital “not”, plus a typo as to the date concerned)</w:t>
      </w:r>
      <w:r w:rsidR="000F648E" w:rsidRPr="00AF44BA">
        <w:rPr>
          <w:rFonts w:ascii="Arial" w:hAnsi="Arial" w:cs="Arial"/>
          <w:color w:val="000000" w:themeColor="text1"/>
          <w:sz w:val="24"/>
          <w:szCs w:val="24"/>
        </w:rPr>
        <w:t xml:space="preserve"> it is not evident how that error would be material when the ap</w:t>
      </w:r>
      <w:r w:rsidR="001D16E1" w:rsidRPr="00AF44BA">
        <w:rPr>
          <w:rFonts w:ascii="Arial" w:hAnsi="Arial" w:cs="Arial"/>
          <w:color w:val="000000" w:themeColor="text1"/>
          <w:sz w:val="24"/>
          <w:szCs w:val="24"/>
        </w:rPr>
        <w:t>p</w:t>
      </w:r>
      <w:r w:rsidR="000F648E" w:rsidRPr="00AF44BA">
        <w:rPr>
          <w:rFonts w:ascii="Arial" w:hAnsi="Arial" w:cs="Arial"/>
          <w:color w:val="000000" w:themeColor="text1"/>
          <w:sz w:val="24"/>
          <w:szCs w:val="24"/>
        </w:rPr>
        <w:t>e</w:t>
      </w:r>
      <w:r w:rsidR="001D16E1" w:rsidRPr="00AF44BA">
        <w:rPr>
          <w:rFonts w:ascii="Arial" w:hAnsi="Arial" w:cs="Arial"/>
          <w:color w:val="000000" w:themeColor="text1"/>
          <w:sz w:val="24"/>
          <w:szCs w:val="24"/>
        </w:rPr>
        <w:t>ll</w:t>
      </w:r>
      <w:r w:rsidR="000F648E" w:rsidRPr="00AF44BA">
        <w:rPr>
          <w:rFonts w:ascii="Arial" w:hAnsi="Arial" w:cs="Arial"/>
          <w:color w:val="000000" w:themeColor="text1"/>
          <w:sz w:val="24"/>
          <w:szCs w:val="24"/>
        </w:rPr>
        <w:t xml:space="preserve">ant had scored 18 points anyway under schedule 2, and </w:t>
      </w:r>
      <w:r w:rsidR="0017154D" w:rsidRPr="00AF44BA">
        <w:rPr>
          <w:rFonts w:ascii="Arial" w:hAnsi="Arial" w:cs="Arial"/>
          <w:color w:val="000000" w:themeColor="text1"/>
          <w:sz w:val="24"/>
          <w:szCs w:val="24"/>
        </w:rPr>
        <w:t>to</w:t>
      </w:r>
      <w:r w:rsidR="000F648E" w:rsidRPr="00AF44BA">
        <w:rPr>
          <w:rFonts w:ascii="Arial" w:hAnsi="Arial" w:cs="Arial"/>
          <w:color w:val="000000" w:themeColor="text1"/>
          <w:sz w:val="24"/>
          <w:szCs w:val="24"/>
        </w:rPr>
        <w:t xml:space="preserve"> me</w:t>
      </w:r>
      <w:r w:rsidR="00195787" w:rsidRPr="00AF44BA">
        <w:rPr>
          <w:rFonts w:ascii="Arial" w:hAnsi="Arial" w:cs="Arial"/>
          <w:color w:val="000000" w:themeColor="text1"/>
          <w:sz w:val="24"/>
          <w:szCs w:val="24"/>
        </w:rPr>
        <w:t>e</w:t>
      </w:r>
      <w:r w:rsidR="000F648E" w:rsidRPr="00AF44BA">
        <w:rPr>
          <w:rFonts w:ascii="Arial" w:hAnsi="Arial" w:cs="Arial"/>
          <w:color w:val="000000" w:themeColor="text1"/>
          <w:sz w:val="24"/>
          <w:szCs w:val="24"/>
        </w:rPr>
        <w:t xml:space="preserve">t </w:t>
      </w:r>
      <w:r w:rsidR="00F87E24" w:rsidRPr="00AF44BA">
        <w:rPr>
          <w:rFonts w:ascii="Arial" w:hAnsi="Arial" w:cs="Arial"/>
          <w:color w:val="000000" w:themeColor="text1"/>
          <w:sz w:val="24"/>
          <w:szCs w:val="24"/>
        </w:rPr>
        <w:t xml:space="preserve">the relevant schedule 3 </w:t>
      </w:r>
      <w:r w:rsidR="0017154D" w:rsidRPr="00AF44BA">
        <w:rPr>
          <w:rFonts w:ascii="Arial" w:hAnsi="Arial" w:cs="Arial"/>
          <w:color w:val="000000" w:themeColor="text1"/>
          <w:sz w:val="24"/>
          <w:szCs w:val="24"/>
        </w:rPr>
        <w:t>descriptor</w:t>
      </w:r>
      <w:r w:rsidR="009C4B2E" w:rsidRPr="00AF44BA">
        <w:rPr>
          <w:rFonts w:ascii="Arial" w:hAnsi="Arial" w:cs="Arial"/>
          <w:color w:val="000000" w:themeColor="text1"/>
          <w:sz w:val="24"/>
          <w:szCs w:val="24"/>
        </w:rPr>
        <w:t xml:space="preserve"> would require her </w:t>
      </w:r>
      <w:r w:rsidR="00E22D45" w:rsidRPr="00AF44BA">
        <w:rPr>
          <w:rFonts w:ascii="Arial" w:hAnsi="Arial" w:cs="Arial"/>
          <w:color w:val="000000" w:themeColor="text1"/>
          <w:sz w:val="24"/>
          <w:szCs w:val="24"/>
        </w:rPr>
        <w:t>to</w:t>
      </w:r>
      <w:r w:rsidR="009C4B2E" w:rsidRPr="00AF44BA">
        <w:rPr>
          <w:rFonts w:ascii="Arial" w:hAnsi="Arial" w:cs="Arial"/>
          <w:color w:val="000000" w:themeColor="text1"/>
          <w:sz w:val="24"/>
          <w:szCs w:val="24"/>
        </w:rPr>
        <w:t xml:space="preserve"> meet the </w:t>
      </w:r>
      <w:r w:rsidR="0017154D" w:rsidRPr="00AF44BA">
        <w:rPr>
          <w:rFonts w:ascii="Arial" w:hAnsi="Arial" w:cs="Arial"/>
          <w:color w:val="000000" w:themeColor="text1"/>
          <w:sz w:val="24"/>
          <w:szCs w:val="24"/>
        </w:rPr>
        <w:t>condition</w:t>
      </w:r>
      <w:r w:rsidR="009C4B2E" w:rsidRPr="00AF44BA">
        <w:rPr>
          <w:rFonts w:ascii="Arial" w:hAnsi="Arial" w:cs="Arial"/>
          <w:color w:val="000000" w:themeColor="text1"/>
          <w:sz w:val="24"/>
          <w:szCs w:val="24"/>
        </w:rPr>
        <w:t xml:space="preserve"> that “Engagement in social contact is always precluded due to difficulty relating to others </w:t>
      </w:r>
      <w:r w:rsidR="00A31B76" w:rsidRPr="00AF44BA">
        <w:rPr>
          <w:rFonts w:ascii="Arial" w:hAnsi="Arial" w:cs="Arial"/>
          <w:color w:val="000000" w:themeColor="text1"/>
          <w:sz w:val="24"/>
          <w:szCs w:val="24"/>
        </w:rPr>
        <w:t xml:space="preserve">or </w:t>
      </w:r>
      <w:r w:rsidR="0017154D" w:rsidRPr="00AF44BA">
        <w:rPr>
          <w:rFonts w:ascii="Arial" w:hAnsi="Arial" w:cs="Arial"/>
          <w:color w:val="000000" w:themeColor="text1"/>
          <w:sz w:val="24"/>
          <w:szCs w:val="24"/>
        </w:rPr>
        <w:t>significant</w:t>
      </w:r>
      <w:r w:rsidR="00A31B76" w:rsidRPr="00AF44BA">
        <w:rPr>
          <w:rFonts w:ascii="Arial" w:hAnsi="Arial" w:cs="Arial"/>
          <w:color w:val="000000" w:themeColor="text1"/>
          <w:sz w:val="24"/>
          <w:szCs w:val="24"/>
        </w:rPr>
        <w:t xml:space="preserve"> distress experienced by the claimant”, </w:t>
      </w:r>
      <w:r w:rsidR="00E31E5F" w:rsidRPr="00AF44BA">
        <w:rPr>
          <w:rFonts w:ascii="Arial" w:hAnsi="Arial" w:cs="Arial"/>
          <w:color w:val="000000" w:themeColor="text1"/>
          <w:sz w:val="24"/>
          <w:szCs w:val="24"/>
        </w:rPr>
        <w:t>a demanding test for which such of the ev</w:t>
      </w:r>
      <w:r w:rsidR="00195787" w:rsidRPr="00AF44BA">
        <w:rPr>
          <w:rFonts w:ascii="Arial" w:hAnsi="Arial" w:cs="Arial"/>
          <w:color w:val="000000" w:themeColor="text1"/>
          <w:sz w:val="24"/>
          <w:szCs w:val="24"/>
        </w:rPr>
        <w:t>idence</w:t>
      </w:r>
      <w:r w:rsidR="00E31E5F" w:rsidRPr="00AF44BA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5C032D" w:rsidRPr="00AF44BA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E31E5F" w:rsidRPr="00AF44BA">
        <w:rPr>
          <w:rFonts w:ascii="Arial" w:hAnsi="Arial" w:cs="Arial"/>
          <w:color w:val="000000" w:themeColor="text1"/>
          <w:sz w:val="24"/>
          <w:szCs w:val="24"/>
        </w:rPr>
        <w:t>has b</w:t>
      </w:r>
      <w:r w:rsidR="005C032D" w:rsidRPr="00AF44BA">
        <w:rPr>
          <w:rFonts w:ascii="Arial" w:hAnsi="Arial" w:cs="Arial"/>
          <w:color w:val="000000" w:themeColor="text1"/>
          <w:sz w:val="24"/>
          <w:szCs w:val="24"/>
        </w:rPr>
        <w:t>e</w:t>
      </w:r>
      <w:r w:rsidR="00E31E5F" w:rsidRPr="00AF44BA">
        <w:rPr>
          <w:rFonts w:ascii="Arial" w:hAnsi="Arial" w:cs="Arial"/>
          <w:color w:val="000000" w:themeColor="text1"/>
          <w:sz w:val="24"/>
          <w:szCs w:val="24"/>
        </w:rPr>
        <w:t>en brought to my attention provides no support</w:t>
      </w:r>
      <w:r w:rsidR="006C562C" w:rsidRPr="00AF44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56D1642" w14:textId="77777777" w:rsidR="007B0799" w:rsidRPr="00AF44BA" w:rsidRDefault="007B0799" w:rsidP="006A47DD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04FBC629" w14:textId="20F5CF41" w:rsidR="00EA0053" w:rsidRPr="00AF44BA" w:rsidRDefault="006A47DD" w:rsidP="006A47DD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3733F0" w:rsidRPr="00AF44BA">
        <w:rPr>
          <w:rFonts w:ascii="Arial" w:hAnsi="Arial" w:cs="Arial"/>
          <w:color w:val="000000" w:themeColor="text1"/>
          <w:sz w:val="24"/>
          <w:szCs w:val="24"/>
        </w:rPr>
        <w:t xml:space="preserve">Mr McKendry supports the appeal on ground b. </w:t>
      </w:r>
      <w:r w:rsidR="000A09B9" w:rsidRPr="00AF44BA">
        <w:rPr>
          <w:rFonts w:ascii="Arial" w:hAnsi="Arial" w:cs="Arial"/>
          <w:color w:val="000000" w:themeColor="text1"/>
          <w:sz w:val="24"/>
          <w:szCs w:val="24"/>
        </w:rPr>
        <w:t>substantially</w:t>
      </w:r>
      <w:r w:rsidR="003733F0" w:rsidRPr="00AF44BA">
        <w:rPr>
          <w:rFonts w:ascii="Arial" w:hAnsi="Arial" w:cs="Arial"/>
          <w:color w:val="000000" w:themeColor="text1"/>
          <w:sz w:val="24"/>
          <w:szCs w:val="24"/>
        </w:rPr>
        <w:t xml:space="preserve"> by reference to the </w:t>
      </w:r>
      <w:r w:rsidR="00EA0053" w:rsidRPr="00AF44BA">
        <w:rPr>
          <w:rFonts w:ascii="Arial" w:hAnsi="Arial" w:cs="Arial"/>
          <w:color w:val="000000" w:themeColor="text1"/>
          <w:sz w:val="24"/>
          <w:szCs w:val="24"/>
        </w:rPr>
        <w:t>decision</w:t>
      </w:r>
      <w:r w:rsidR="003733F0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0053" w:rsidRPr="00AF44BA">
        <w:rPr>
          <w:rFonts w:ascii="Arial" w:hAnsi="Arial" w:cs="Arial"/>
          <w:color w:val="000000" w:themeColor="text1"/>
          <w:sz w:val="24"/>
          <w:szCs w:val="24"/>
        </w:rPr>
        <w:t>o</w:t>
      </w:r>
      <w:r w:rsidR="003733F0" w:rsidRPr="00AF44BA">
        <w:rPr>
          <w:rFonts w:ascii="Arial" w:hAnsi="Arial" w:cs="Arial"/>
          <w:color w:val="000000" w:themeColor="text1"/>
          <w:sz w:val="24"/>
          <w:szCs w:val="24"/>
        </w:rPr>
        <w:t xml:space="preserve">f </w:t>
      </w:r>
      <w:r w:rsidR="00EA0053" w:rsidRPr="00AF44BA">
        <w:rPr>
          <w:rFonts w:ascii="Arial" w:hAnsi="Arial" w:cs="Arial"/>
          <w:color w:val="000000" w:themeColor="text1"/>
          <w:sz w:val="24"/>
          <w:szCs w:val="24"/>
        </w:rPr>
        <w:t>D</w:t>
      </w:r>
      <w:r w:rsidR="003733F0" w:rsidRPr="00AF44BA">
        <w:rPr>
          <w:rFonts w:ascii="Arial" w:hAnsi="Arial" w:cs="Arial"/>
          <w:color w:val="000000" w:themeColor="text1"/>
          <w:sz w:val="24"/>
          <w:szCs w:val="24"/>
        </w:rPr>
        <w:t>eputy Commissioner Gray in C5/23-24 (ESA).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08F6" w:rsidRPr="00AF44BA">
        <w:rPr>
          <w:rFonts w:ascii="Arial" w:hAnsi="Arial" w:cs="Arial"/>
          <w:color w:val="000000" w:themeColor="text1"/>
          <w:sz w:val="24"/>
          <w:szCs w:val="24"/>
        </w:rPr>
        <w:t xml:space="preserve"> At para 14 she observed that</w:t>
      </w:r>
      <w:r w:rsidR="00EA0053" w:rsidRPr="00AF44BA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9EDC0C0" w14:textId="77777777" w:rsidR="007B0799" w:rsidRPr="00AF44BA" w:rsidRDefault="007B0799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0865E2" w14:textId="1466B06E" w:rsidR="00EA0053" w:rsidRPr="00AF44BA" w:rsidRDefault="00EF08F6" w:rsidP="000D4F5B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“The tribunal </w:t>
      </w:r>
      <w:r w:rsidR="00EA0053" w:rsidRPr="00AF44BA">
        <w:rPr>
          <w:rFonts w:ascii="Arial" w:hAnsi="Arial" w:cs="Arial"/>
          <w:color w:val="000000" w:themeColor="text1"/>
          <w:sz w:val="24"/>
          <w:szCs w:val="24"/>
        </w:rPr>
        <w:t>must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 consider, and show </w:t>
      </w:r>
      <w:r w:rsidR="00C4522E" w:rsidRPr="00AF44BA">
        <w:rPr>
          <w:rFonts w:ascii="Arial" w:hAnsi="Arial" w:cs="Arial"/>
          <w:color w:val="000000" w:themeColor="text1"/>
          <w:sz w:val="24"/>
          <w:szCs w:val="24"/>
        </w:rPr>
        <w:t>that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 it </w:t>
      </w:r>
      <w:r w:rsidR="00EA0053" w:rsidRPr="00AF44BA">
        <w:rPr>
          <w:rFonts w:ascii="Arial" w:hAnsi="Arial" w:cs="Arial"/>
          <w:color w:val="000000" w:themeColor="text1"/>
          <w:sz w:val="24"/>
          <w:szCs w:val="24"/>
        </w:rPr>
        <w:t>has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0053" w:rsidRPr="00AF44BA">
        <w:rPr>
          <w:rFonts w:ascii="Arial" w:hAnsi="Arial" w:cs="Arial"/>
          <w:color w:val="000000" w:themeColor="text1"/>
          <w:sz w:val="24"/>
          <w:szCs w:val="24"/>
        </w:rPr>
        <w:t>considered</w:t>
      </w:r>
      <w:r w:rsidR="00A854FF" w:rsidRPr="00AF44B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4522E" w:rsidRPr="00AF44BA">
        <w:rPr>
          <w:rFonts w:ascii="Arial" w:hAnsi="Arial" w:cs="Arial"/>
          <w:color w:val="000000" w:themeColor="text1"/>
          <w:sz w:val="24"/>
          <w:szCs w:val="24"/>
        </w:rPr>
        <w:t>regulation</w:t>
      </w:r>
      <w:r w:rsidR="00A854FF" w:rsidRPr="00AF44BA">
        <w:rPr>
          <w:rFonts w:ascii="Arial" w:hAnsi="Arial" w:cs="Arial"/>
          <w:color w:val="000000" w:themeColor="text1"/>
          <w:sz w:val="24"/>
          <w:szCs w:val="24"/>
        </w:rPr>
        <w:t xml:space="preserve"> 31(2) when dealing with an appeal where it might apply.  </w:t>
      </w:r>
      <w:r w:rsidR="00C4522E" w:rsidRPr="00AF44BA">
        <w:rPr>
          <w:rFonts w:ascii="Arial" w:hAnsi="Arial" w:cs="Arial"/>
          <w:color w:val="000000" w:themeColor="text1"/>
          <w:sz w:val="24"/>
          <w:szCs w:val="24"/>
        </w:rPr>
        <w:t>This is</w:t>
      </w:r>
      <w:r w:rsidR="00A854FF" w:rsidRPr="00AF44BA">
        <w:rPr>
          <w:rFonts w:ascii="Arial" w:hAnsi="Arial" w:cs="Arial"/>
          <w:color w:val="000000" w:themeColor="text1"/>
          <w:sz w:val="24"/>
          <w:szCs w:val="24"/>
        </w:rPr>
        <w:t xml:space="preserve"> clearly such a case</w:t>
      </w:r>
      <w:r w:rsidR="00D46B43" w:rsidRPr="00AF44BA">
        <w:rPr>
          <w:rFonts w:ascii="Arial" w:hAnsi="Arial" w:cs="Arial"/>
          <w:color w:val="000000" w:themeColor="text1"/>
          <w:sz w:val="24"/>
          <w:szCs w:val="24"/>
        </w:rPr>
        <w:t>, given the schedule 2 descriptors based on mental health problems that were found to apply to</w:t>
      </w:r>
      <w:r w:rsidR="00C4522E" w:rsidRPr="00AF44BA">
        <w:rPr>
          <w:rFonts w:ascii="Arial" w:hAnsi="Arial" w:cs="Arial"/>
          <w:color w:val="000000" w:themeColor="text1"/>
          <w:sz w:val="24"/>
          <w:szCs w:val="24"/>
        </w:rPr>
        <w:t xml:space="preserve"> the claimant</w:t>
      </w:r>
      <w:r w:rsidR="00D46B43" w:rsidRPr="00AF44BA">
        <w:rPr>
          <w:rFonts w:ascii="Arial" w:hAnsi="Arial" w:cs="Arial"/>
          <w:color w:val="000000" w:themeColor="text1"/>
          <w:sz w:val="24"/>
          <w:szCs w:val="24"/>
        </w:rPr>
        <w:t>…”</w:t>
      </w:r>
    </w:p>
    <w:p w14:paraId="7A396AA9" w14:textId="77777777" w:rsidR="007B0799" w:rsidRPr="00AF44BA" w:rsidRDefault="007B0799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BDD440" w14:textId="2FB4E231" w:rsidR="00762C42" w:rsidRPr="00AF44BA" w:rsidRDefault="000D4F5B" w:rsidP="00E02655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362928" w:rsidRPr="00AF44BA">
        <w:rPr>
          <w:rFonts w:ascii="Arial" w:hAnsi="Arial" w:cs="Arial"/>
          <w:color w:val="000000" w:themeColor="text1"/>
          <w:sz w:val="24"/>
          <w:szCs w:val="24"/>
        </w:rPr>
        <w:t xml:space="preserve">At para 15, explaining 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 xml:space="preserve">why the </w:t>
      </w:r>
      <w:r w:rsidR="00C4522E" w:rsidRPr="00AF44BA">
        <w:rPr>
          <w:rFonts w:ascii="Arial" w:hAnsi="Arial" w:cs="Arial"/>
          <w:color w:val="000000" w:themeColor="text1"/>
          <w:sz w:val="24"/>
          <w:szCs w:val="24"/>
        </w:rPr>
        <w:t>decision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 xml:space="preserve"> of that </w:t>
      </w:r>
      <w:r w:rsidR="007E03AB" w:rsidRPr="00AF44BA">
        <w:rPr>
          <w:rFonts w:ascii="Arial" w:hAnsi="Arial" w:cs="Arial"/>
          <w:color w:val="000000" w:themeColor="text1"/>
          <w:sz w:val="24"/>
          <w:szCs w:val="24"/>
        </w:rPr>
        <w:t>appeal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 xml:space="preserve"> tribunal was inadequate:</w:t>
      </w:r>
    </w:p>
    <w:p w14:paraId="188462A9" w14:textId="77777777" w:rsidR="007B0799" w:rsidRPr="00AF44BA" w:rsidRDefault="007B0799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C9A4D8" w14:textId="24E668C9" w:rsidR="00BF24F7" w:rsidRPr="00AF44BA" w:rsidRDefault="00660980" w:rsidP="00E02655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“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>The brief reference to th</w:t>
      </w:r>
      <w:r w:rsidR="007E03AB" w:rsidRPr="00AF44BA">
        <w:rPr>
          <w:rFonts w:ascii="Arial" w:hAnsi="Arial" w:cs="Arial"/>
          <w:color w:val="000000" w:themeColor="text1"/>
          <w:sz w:val="24"/>
          <w:szCs w:val="24"/>
        </w:rPr>
        <w:t>e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 xml:space="preserve">re not </w:t>
      </w:r>
      <w:r w:rsidR="00C4522E" w:rsidRPr="00AF44BA">
        <w:rPr>
          <w:rFonts w:ascii="Arial" w:hAnsi="Arial" w:cs="Arial"/>
          <w:color w:val="000000" w:themeColor="text1"/>
          <w:sz w:val="24"/>
          <w:szCs w:val="24"/>
        </w:rPr>
        <w:t>being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7E03AB" w:rsidRPr="00AF44BA">
        <w:rPr>
          <w:rFonts w:ascii="Arial" w:hAnsi="Arial" w:cs="Arial"/>
          <w:color w:val="000000" w:themeColor="text1"/>
          <w:sz w:val="24"/>
          <w:szCs w:val="24"/>
        </w:rPr>
        <w:t>risk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7E03AB" w:rsidRPr="00AF44BA">
        <w:rPr>
          <w:rFonts w:ascii="Arial" w:hAnsi="Arial" w:cs="Arial"/>
          <w:color w:val="000000" w:themeColor="text1"/>
          <w:sz w:val="24"/>
          <w:szCs w:val="24"/>
        </w:rPr>
        <w:t>o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C4522E" w:rsidRPr="00AF44BA">
        <w:rPr>
          <w:rFonts w:ascii="Arial" w:hAnsi="Arial" w:cs="Arial"/>
          <w:color w:val="000000" w:themeColor="text1"/>
          <w:sz w:val="24"/>
          <w:szCs w:val="24"/>
        </w:rPr>
        <w:t>appellant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>’</w:t>
      </w:r>
      <w:r w:rsidR="007E03AB" w:rsidRPr="00AF44BA">
        <w:rPr>
          <w:rFonts w:ascii="Arial" w:hAnsi="Arial" w:cs="Arial"/>
          <w:color w:val="000000" w:themeColor="text1"/>
          <w:sz w:val="24"/>
          <w:szCs w:val="24"/>
        </w:rPr>
        <w:t>s</w:t>
      </w:r>
      <w:r w:rsidR="00BF24F7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>h</w:t>
      </w:r>
      <w:r w:rsidR="007E03AB" w:rsidRPr="00AF44BA">
        <w:rPr>
          <w:rFonts w:ascii="Arial" w:hAnsi="Arial" w:cs="Arial"/>
          <w:color w:val="000000" w:themeColor="text1"/>
          <w:sz w:val="24"/>
          <w:szCs w:val="24"/>
        </w:rPr>
        <w:t>ea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 xml:space="preserve">lth because he </w:t>
      </w:r>
      <w:r w:rsidR="00C4522E" w:rsidRPr="00AF44BA">
        <w:rPr>
          <w:rFonts w:ascii="Arial" w:hAnsi="Arial" w:cs="Arial"/>
          <w:color w:val="000000" w:themeColor="text1"/>
          <w:sz w:val="24"/>
          <w:szCs w:val="24"/>
        </w:rPr>
        <w:t>has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 xml:space="preserve"> no history of self-harm doe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s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ot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u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 xml:space="preserve">lly answer the 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question 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 xml:space="preserve">posed by the </w:t>
      </w:r>
      <w:r w:rsidR="00954C93" w:rsidRPr="00AF44BA">
        <w:rPr>
          <w:rFonts w:ascii="Arial" w:hAnsi="Arial" w:cs="Arial"/>
          <w:color w:val="000000" w:themeColor="text1"/>
          <w:sz w:val="24"/>
          <w:szCs w:val="24"/>
        </w:rPr>
        <w:t>regulation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 xml:space="preserve">, because it 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concentrates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o</w:t>
      </w:r>
      <w:r w:rsidR="00785DC2" w:rsidRPr="00AF44BA">
        <w:rPr>
          <w:rFonts w:ascii="Arial" w:hAnsi="Arial" w:cs="Arial"/>
          <w:color w:val="000000" w:themeColor="text1"/>
          <w:sz w:val="24"/>
          <w:szCs w:val="24"/>
        </w:rPr>
        <w:t>n one narrow (albeit important) area of potential risk</w:t>
      </w:r>
      <w:r w:rsidR="00E026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35F6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35F6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The remit of the provision is wider, </w:t>
      </w:r>
      <w:r w:rsidR="00954C93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>encompassing</w:t>
      </w:r>
      <w:r w:rsidR="004735F6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other aspects </w:t>
      </w:r>
      <w:r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>o</w:t>
      </w:r>
      <w:r w:rsidR="004735F6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f risk to health, </w:t>
      </w:r>
      <w:r w:rsidR="00954C93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>such</w:t>
      </w:r>
      <w:r w:rsidR="004735F6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434AEB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>a</w:t>
      </w:r>
      <w:r w:rsidR="004735F6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s a marked </w:t>
      </w:r>
      <w:r w:rsidR="00954C93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>exacerbation of</w:t>
      </w:r>
      <w:r w:rsidR="004735F6" w:rsidRPr="00AF44BA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existing physical or mental health conditions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”</w:t>
      </w:r>
      <w:r w:rsidR="00434AEB" w:rsidRPr="00AF44BA">
        <w:rPr>
          <w:rFonts w:ascii="Arial" w:hAnsi="Arial" w:cs="Arial"/>
          <w:color w:val="000000" w:themeColor="text1"/>
          <w:sz w:val="24"/>
          <w:szCs w:val="24"/>
        </w:rPr>
        <w:t xml:space="preserve"> (emphasis added)</w:t>
      </w:r>
      <w:r w:rsidR="00E22345" w:rsidRPr="00AF44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C5B5D5" w14:textId="77777777" w:rsidR="007B0799" w:rsidRPr="00AF44BA" w:rsidRDefault="007B0799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DD6B2B" w14:textId="7D398DC0" w:rsidR="0018024B" w:rsidRPr="00AF44BA" w:rsidRDefault="00E02655" w:rsidP="00AD7B7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15F82" w:rsidRPr="00AF44BA">
        <w:rPr>
          <w:rFonts w:ascii="Arial" w:hAnsi="Arial" w:cs="Arial"/>
          <w:color w:val="000000" w:themeColor="text1"/>
          <w:sz w:val="24"/>
          <w:szCs w:val="24"/>
        </w:rPr>
        <w:t>In the case before me, t</w:t>
      </w:r>
      <w:r w:rsidR="007F73EE" w:rsidRPr="00AF44BA">
        <w:rPr>
          <w:rFonts w:ascii="Arial" w:hAnsi="Arial" w:cs="Arial"/>
          <w:color w:val="000000" w:themeColor="text1"/>
          <w:sz w:val="24"/>
          <w:szCs w:val="24"/>
        </w:rPr>
        <w:t>h</w:t>
      </w:r>
      <w:r w:rsidR="00C15F82" w:rsidRPr="00AF44BA">
        <w:rPr>
          <w:rFonts w:ascii="Arial" w:hAnsi="Arial" w:cs="Arial"/>
          <w:color w:val="000000" w:themeColor="text1"/>
          <w:sz w:val="24"/>
          <w:szCs w:val="24"/>
        </w:rPr>
        <w:t xml:space="preserve">e tribunal </w:t>
      </w:r>
      <w:r w:rsidR="00502706" w:rsidRPr="00AF44BA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="007F73EE" w:rsidRPr="00AF44BA">
        <w:rPr>
          <w:rFonts w:ascii="Arial" w:hAnsi="Arial" w:cs="Arial"/>
          <w:color w:val="000000" w:themeColor="text1"/>
          <w:sz w:val="24"/>
          <w:szCs w:val="24"/>
        </w:rPr>
        <w:t>awarding</w:t>
      </w:r>
      <w:r w:rsidR="00502706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5B66" w:rsidRPr="00AF44BA">
        <w:rPr>
          <w:rFonts w:ascii="Arial" w:hAnsi="Arial" w:cs="Arial"/>
          <w:color w:val="000000" w:themeColor="text1"/>
          <w:sz w:val="24"/>
          <w:szCs w:val="24"/>
        </w:rPr>
        <w:t xml:space="preserve">descriptor 15c had </w:t>
      </w:r>
      <w:r w:rsidR="00954C93" w:rsidRPr="00AF44BA">
        <w:rPr>
          <w:rFonts w:ascii="Arial" w:hAnsi="Arial" w:cs="Arial"/>
          <w:color w:val="000000" w:themeColor="text1"/>
          <w:sz w:val="24"/>
          <w:szCs w:val="24"/>
        </w:rPr>
        <w:t>acknowledged</w:t>
      </w:r>
      <w:r w:rsidR="00F35B66" w:rsidRPr="00AF44BA">
        <w:rPr>
          <w:rFonts w:ascii="Arial" w:hAnsi="Arial" w:cs="Arial"/>
          <w:color w:val="000000" w:themeColor="text1"/>
          <w:sz w:val="24"/>
          <w:szCs w:val="24"/>
        </w:rPr>
        <w:t xml:space="preserve"> that the</w:t>
      </w:r>
      <w:r w:rsidR="007F73EE" w:rsidRPr="00AF44BA">
        <w:rPr>
          <w:rFonts w:ascii="Arial" w:hAnsi="Arial" w:cs="Arial"/>
          <w:color w:val="000000" w:themeColor="text1"/>
          <w:sz w:val="24"/>
          <w:szCs w:val="24"/>
        </w:rPr>
        <w:t xml:space="preserve"> appellant</w:t>
      </w:r>
      <w:r w:rsidR="008C0621" w:rsidRPr="00AF44BA">
        <w:rPr>
          <w:rFonts w:ascii="Arial" w:hAnsi="Arial" w:cs="Arial"/>
          <w:color w:val="000000" w:themeColor="text1"/>
          <w:sz w:val="24"/>
          <w:szCs w:val="24"/>
        </w:rPr>
        <w:t xml:space="preserve"> claimant</w:t>
      </w:r>
      <w:r w:rsidR="00F35B66" w:rsidRPr="00AF44BA">
        <w:rPr>
          <w:rFonts w:ascii="Arial" w:hAnsi="Arial" w:cs="Arial"/>
          <w:color w:val="000000" w:themeColor="text1"/>
          <w:sz w:val="24"/>
          <w:szCs w:val="24"/>
        </w:rPr>
        <w:t xml:space="preserve"> “is unable to get to a </w:t>
      </w:r>
      <w:r w:rsidR="00E64BAB" w:rsidRPr="00AF44BA">
        <w:rPr>
          <w:rFonts w:ascii="Arial" w:hAnsi="Arial" w:cs="Arial"/>
          <w:color w:val="000000" w:themeColor="text1"/>
          <w:sz w:val="24"/>
          <w:szCs w:val="24"/>
        </w:rPr>
        <w:t>specified</w:t>
      </w:r>
      <w:r w:rsidR="00F35B66" w:rsidRPr="00AF44BA">
        <w:rPr>
          <w:rFonts w:ascii="Arial" w:hAnsi="Arial" w:cs="Arial"/>
          <w:color w:val="000000" w:themeColor="text1"/>
          <w:sz w:val="24"/>
          <w:szCs w:val="24"/>
        </w:rPr>
        <w:t xml:space="preserve"> place with which the claimant is unfamiliar</w:t>
      </w:r>
      <w:r w:rsidR="0007246C" w:rsidRPr="00AF44BA">
        <w:rPr>
          <w:rFonts w:ascii="Arial" w:hAnsi="Arial" w:cs="Arial"/>
          <w:color w:val="000000" w:themeColor="text1"/>
          <w:sz w:val="24"/>
          <w:szCs w:val="24"/>
        </w:rPr>
        <w:t xml:space="preserve"> without being accompanied by another person.</w:t>
      </w:r>
      <w:r w:rsidR="008C0621" w:rsidRPr="00AF44BA">
        <w:rPr>
          <w:rFonts w:ascii="Arial" w:hAnsi="Arial" w:cs="Arial"/>
          <w:color w:val="000000" w:themeColor="text1"/>
          <w:sz w:val="24"/>
          <w:szCs w:val="24"/>
        </w:rPr>
        <w:t>”</w:t>
      </w:r>
      <w:r w:rsidR="0007246C" w:rsidRPr="00AF44BA">
        <w:rPr>
          <w:rFonts w:ascii="Arial" w:hAnsi="Arial" w:cs="Arial"/>
          <w:color w:val="000000" w:themeColor="text1"/>
          <w:sz w:val="24"/>
          <w:szCs w:val="24"/>
        </w:rPr>
        <w:t xml:space="preserve">  By awarding </w:t>
      </w:r>
      <w:r w:rsidR="00E64BAB" w:rsidRPr="00AF44BA">
        <w:rPr>
          <w:rFonts w:ascii="Arial" w:hAnsi="Arial" w:cs="Arial"/>
          <w:color w:val="000000" w:themeColor="text1"/>
          <w:sz w:val="24"/>
          <w:szCs w:val="24"/>
        </w:rPr>
        <w:t>descriptor</w:t>
      </w:r>
      <w:r w:rsidR="0007246C" w:rsidRPr="00AF44BA">
        <w:rPr>
          <w:rFonts w:ascii="Arial" w:hAnsi="Arial" w:cs="Arial"/>
          <w:color w:val="000000" w:themeColor="text1"/>
          <w:sz w:val="24"/>
          <w:szCs w:val="24"/>
        </w:rPr>
        <w:t xml:space="preserve"> 16c it </w:t>
      </w:r>
      <w:r w:rsidR="008C0621" w:rsidRPr="00AF44BA">
        <w:rPr>
          <w:rFonts w:ascii="Arial" w:hAnsi="Arial" w:cs="Arial"/>
          <w:color w:val="000000" w:themeColor="text1"/>
          <w:sz w:val="24"/>
          <w:szCs w:val="24"/>
        </w:rPr>
        <w:t>had acknowledged</w:t>
      </w:r>
      <w:r w:rsidR="0007246C" w:rsidRPr="00AF44BA">
        <w:rPr>
          <w:rFonts w:ascii="Arial" w:hAnsi="Arial" w:cs="Arial"/>
          <w:color w:val="000000" w:themeColor="text1"/>
          <w:sz w:val="24"/>
          <w:szCs w:val="24"/>
        </w:rPr>
        <w:t xml:space="preserve"> that “engagement </w:t>
      </w:r>
      <w:r w:rsidR="00642C90" w:rsidRPr="00AF44BA">
        <w:rPr>
          <w:rFonts w:ascii="Arial" w:hAnsi="Arial" w:cs="Arial"/>
          <w:color w:val="000000" w:themeColor="text1"/>
          <w:sz w:val="24"/>
          <w:szCs w:val="24"/>
        </w:rPr>
        <w:t xml:space="preserve">in social contact with someone unfamiliar to the claimant is </w:t>
      </w:r>
      <w:r w:rsidR="003B4731" w:rsidRPr="00AF44BA">
        <w:rPr>
          <w:rFonts w:ascii="Arial" w:hAnsi="Arial" w:cs="Arial"/>
          <w:color w:val="000000" w:themeColor="text1"/>
          <w:sz w:val="24"/>
          <w:szCs w:val="24"/>
        </w:rPr>
        <w:t>not</w:t>
      </w:r>
      <w:r w:rsidR="00642C90" w:rsidRPr="00AF44BA">
        <w:rPr>
          <w:rFonts w:ascii="Arial" w:hAnsi="Arial" w:cs="Arial"/>
          <w:color w:val="000000" w:themeColor="text1"/>
          <w:sz w:val="24"/>
          <w:szCs w:val="24"/>
        </w:rPr>
        <w:t xml:space="preserve"> possible for the majority of the time due to di</w:t>
      </w:r>
      <w:r w:rsidR="008C0621" w:rsidRPr="00AF44BA">
        <w:rPr>
          <w:rFonts w:ascii="Arial" w:hAnsi="Arial" w:cs="Arial"/>
          <w:color w:val="000000" w:themeColor="text1"/>
          <w:sz w:val="24"/>
          <w:szCs w:val="24"/>
        </w:rPr>
        <w:t>ffi</w:t>
      </w:r>
      <w:r w:rsidR="00642C90" w:rsidRPr="00AF44BA">
        <w:rPr>
          <w:rFonts w:ascii="Arial" w:hAnsi="Arial" w:cs="Arial"/>
          <w:color w:val="000000" w:themeColor="text1"/>
          <w:sz w:val="24"/>
          <w:szCs w:val="24"/>
        </w:rPr>
        <w:t xml:space="preserve">culty </w:t>
      </w:r>
      <w:r w:rsidR="009211AA" w:rsidRPr="00AF44BA">
        <w:rPr>
          <w:rFonts w:ascii="Arial" w:hAnsi="Arial" w:cs="Arial"/>
          <w:color w:val="000000" w:themeColor="text1"/>
          <w:sz w:val="24"/>
          <w:szCs w:val="24"/>
        </w:rPr>
        <w:t>relating to</w:t>
      </w:r>
      <w:r w:rsidR="003B4731" w:rsidRPr="00AF44BA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9211AA" w:rsidRPr="00AF44BA">
        <w:rPr>
          <w:rFonts w:ascii="Arial" w:hAnsi="Arial" w:cs="Arial"/>
          <w:color w:val="000000" w:themeColor="text1"/>
          <w:sz w:val="24"/>
          <w:szCs w:val="24"/>
        </w:rPr>
        <w:t xml:space="preserve">thers or </w:t>
      </w:r>
      <w:r w:rsidR="00E64BAB" w:rsidRPr="00AF44BA">
        <w:rPr>
          <w:rFonts w:ascii="Arial" w:hAnsi="Arial" w:cs="Arial"/>
          <w:color w:val="000000" w:themeColor="text1"/>
          <w:sz w:val="24"/>
          <w:szCs w:val="24"/>
        </w:rPr>
        <w:t>significant</w:t>
      </w:r>
      <w:r w:rsidR="009211AA" w:rsidRPr="00AF44BA">
        <w:rPr>
          <w:rFonts w:ascii="Arial" w:hAnsi="Arial" w:cs="Arial"/>
          <w:color w:val="000000" w:themeColor="text1"/>
          <w:sz w:val="24"/>
          <w:szCs w:val="24"/>
        </w:rPr>
        <w:t xml:space="preserve"> distress experienced by the claimant</w:t>
      </w:r>
      <w:r w:rsidR="008B439E" w:rsidRPr="00AF44BA">
        <w:rPr>
          <w:rFonts w:ascii="Arial" w:hAnsi="Arial" w:cs="Arial"/>
          <w:color w:val="000000" w:themeColor="text1"/>
          <w:sz w:val="24"/>
          <w:szCs w:val="24"/>
        </w:rPr>
        <w:t>”</w:t>
      </w:r>
      <w:r w:rsidR="009211AA" w:rsidRPr="00AF44B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76532B3" w14:textId="77777777" w:rsidR="0018024B" w:rsidRPr="00AF44BA" w:rsidRDefault="0018024B" w:rsidP="00AD7B7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56F451" w14:textId="60B42FED" w:rsidR="0018024B" w:rsidRPr="00AF44BA" w:rsidRDefault="00AD7B7B" w:rsidP="00AD7B7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E52ADD" w:rsidRPr="00AF44B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3B4731" w:rsidRPr="00AF44BA">
        <w:rPr>
          <w:rFonts w:ascii="Arial" w:hAnsi="Arial" w:cs="Arial"/>
          <w:color w:val="000000" w:themeColor="text1"/>
          <w:sz w:val="24"/>
          <w:szCs w:val="24"/>
        </w:rPr>
        <w:t>evidence</w:t>
      </w:r>
      <w:r w:rsidR="00E64BAB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4731" w:rsidRPr="00AF44BA">
        <w:rPr>
          <w:rFonts w:ascii="Arial" w:hAnsi="Arial" w:cs="Arial"/>
          <w:color w:val="000000" w:themeColor="text1"/>
          <w:sz w:val="24"/>
          <w:szCs w:val="24"/>
        </w:rPr>
        <w:t>before</w:t>
      </w:r>
      <w:r w:rsidR="00E52ADD" w:rsidRPr="00AF44BA">
        <w:rPr>
          <w:rFonts w:ascii="Arial" w:hAnsi="Arial" w:cs="Arial"/>
          <w:color w:val="000000" w:themeColor="text1"/>
          <w:sz w:val="24"/>
          <w:szCs w:val="24"/>
        </w:rPr>
        <w:t xml:space="preserve"> the tribunal </w:t>
      </w:r>
      <w:r w:rsidR="00470422" w:rsidRPr="00AF44BA">
        <w:rPr>
          <w:rFonts w:ascii="Arial" w:hAnsi="Arial" w:cs="Arial"/>
          <w:color w:val="000000" w:themeColor="text1"/>
          <w:sz w:val="24"/>
          <w:szCs w:val="24"/>
        </w:rPr>
        <w:t xml:space="preserve">included </w:t>
      </w:r>
      <w:r w:rsidR="00CF2E26" w:rsidRPr="00AF44BA">
        <w:rPr>
          <w:rFonts w:ascii="Arial" w:hAnsi="Arial" w:cs="Arial"/>
          <w:color w:val="000000" w:themeColor="text1"/>
          <w:sz w:val="24"/>
          <w:szCs w:val="24"/>
        </w:rPr>
        <w:t xml:space="preserve">the Department’s paper headed “Are you on Employment and </w:t>
      </w:r>
      <w:r w:rsidR="00E64BAB" w:rsidRPr="00AF44BA">
        <w:rPr>
          <w:rFonts w:ascii="Arial" w:hAnsi="Arial" w:cs="Arial"/>
          <w:color w:val="000000" w:themeColor="text1"/>
          <w:sz w:val="24"/>
          <w:szCs w:val="24"/>
        </w:rPr>
        <w:t>Support</w:t>
      </w:r>
      <w:r w:rsidR="00CF2E26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4731" w:rsidRPr="00AF44BA">
        <w:rPr>
          <w:rFonts w:ascii="Arial" w:hAnsi="Arial" w:cs="Arial"/>
          <w:color w:val="000000" w:themeColor="text1"/>
          <w:sz w:val="24"/>
          <w:szCs w:val="24"/>
        </w:rPr>
        <w:t>Allowance</w:t>
      </w:r>
      <w:r w:rsidR="00CF2E26" w:rsidRPr="00AF44BA">
        <w:rPr>
          <w:rFonts w:ascii="Arial" w:hAnsi="Arial" w:cs="Arial"/>
          <w:color w:val="000000" w:themeColor="text1"/>
          <w:sz w:val="24"/>
          <w:szCs w:val="24"/>
        </w:rPr>
        <w:t xml:space="preserve"> and in the </w:t>
      </w:r>
      <w:proofErr w:type="gramStart"/>
      <w:r w:rsidR="00CF2E26" w:rsidRPr="00AF44BA">
        <w:rPr>
          <w:rFonts w:ascii="Arial" w:hAnsi="Arial" w:cs="Arial"/>
          <w:color w:val="000000" w:themeColor="text1"/>
          <w:sz w:val="24"/>
          <w:szCs w:val="24"/>
        </w:rPr>
        <w:t>Work Related</w:t>
      </w:r>
      <w:proofErr w:type="gramEnd"/>
      <w:r w:rsidR="00CF2E26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4731" w:rsidRPr="00AF44BA">
        <w:rPr>
          <w:rFonts w:ascii="Arial" w:hAnsi="Arial" w:cs="Arial"/>
          <w:color w:val="000000" w:themeColor="text1"/>
          <w:sz w:val="24"/>
          <w:szCs w:val="24"/>
        </w:rPr>
        <w:t>A</w:t>
      </w:r>
      <w:r w:rsidR="00E64BAB" w:rsidRPr="00AF44BA">
        <w:rPr>
          <w:rFonts w:ascii="Arial" w:hAnsi="Arial" w:cs="Arial"/>
          <w:color w:val="000000" w:themeColor="text1"/>
          <w:sz w:val="24"/>
          <w:szCs w:val="24"/>
        </w:rPr>
        <w:t>ctivity</w:t>
      </w:r>
      <w:r w:rsidR="00CF2E26" w:rsidRPr="00AF44BA">
        <w:rPr>
          <w:rFonts w:ascii="Arial" w:hAnsi="Arial" w:cs="Arial"/>
          <w:color w:val="000000" w:themeColor="text1"/>
          <w:sz w:val="24"/>
          <w:szCs w:val="24"/>
        </w:rPr>
        <w:t xml:space="preserve"> Group?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2E26" w:rsidRPr="00AF44BA">
        <w:rPr>
          <w:rFonts w:ascii="Arial" w:hAnsi="Arial" w:cs="Arial"/>
          <w:color w:val="000000" w:themeColor="text1"/>
          <w:sz w:val="24"/>
          <w:szCs w:val="24"/>
        </w:rPr>
        <w:t>We can offer you hel</w:t>
      </w:r>
      <w:r w:rsidR="00F82968" w:rsidRPr="00AF44BA">
        <w:rPr>
          <w:rFonts w:ascii="Arial" w:hAnsi="Arial" w:cs="Arial"/>
          <w:color w:val="000000" w:themeColor="text1"/>
          <w:sz w:val="24"/>
          <w:szCs w:val="24"/>
        </w:rPr>
        <w:t>p</w:t>
      </w:r>
      <w:r w:rsidR="00CF2E26" w:rsidRPr="00AF44BA">
        <w:rPr>
          <w:rFonts w:ascii="Arial" w:hAnsi="Arial" w:cs="Arial"/>
          <w:color w:val="000000" w:themeColor="text1"/>
          <w:sz w:val="24"/>
          <w:szCs w:val="24"/>
        </w:rPr>
        <w:t xml:space="preserve"> and support”</w:t>
      </w:r>
      <w:r w:rsidR="00F55B78" w:rsidRPr="00AF44BA">
        <w:rPr>
          <w:rFonts w:ascii="Arial" w:hAnsi="Arial" w:cs="Arial"/>
          <w:color w:val="000000" w:themeColor="text1"/>
          <w:sz w:val="24"/>
          <w:szCs w:val="24"/>
        </w:rPr>
        <w:t xml:space="preserve"> and a p</w:t>
      </w:r>
      <w:r w:rsidR="00F82968" w:rsidRPr="00AF44BA">
        <w:rPr>
          <w:rFonts w:ascii="Arial" w:hAnsi="Arial" w:cs="Arial"/>
          <w:color w:val="000000" w:themeColor="text1"/>
          <w:sz w:val="24"/>
          <w:szCs w:val="24"/>
        </w:rPr>
        <w:t>aper</w:t>
      </w:r>
      <w:r w:rsidR="00F55B78" w:rsidRPr="00AF44BA">
        <w:rPr>
          <w:rFonts w:ascii="Arial" w:hAnsi="Arial" w:cs="Arial"/>
          <w:color w:val="000000" w:themeColor="text1"/>
          <w:sz w:val="24"/>
          <w:szCs w:val="24"/>
        </w:rPr>
        <w:t xml:space="preserve"> headed “Menu </w:t>
      </w:r>
      <w:r w:rsidR="00F82968" w:rsidRPr="00AF44BA">
        <w:rPr>
          <w:rFonts w:ascii="Arial" w:hAnsi="Arial" w:cs="Arial"/>
          <w:color w:val="000000" w:themeColor="text1"/>
          <w:sz w:val="24"/>
          <w:szCs w:val="24"/>
        </w:rPr>
        <w:t>o</w:t>
      </w:r>
      <w:r w:rsidR="00F55B78" w:rsidRPr="00AF44BA">
        <w:rPr>
          <w:rFonts w:ascii="Arial" w:hAnsi="Arial" w:cs="Arial"/>
          <w:color w:val="000000" w:themeColor="text1"/>
          <w:sz w:val="24"/>
          <w:szCs w:val="24"/>
        </w:rPr>
        <w:t xml:space="preserve">f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services</w:t>
      </w:r>
      <w:r w:rsidR="00F55B78" w:rsidRPr="00AF44BA">
        <w:rPr>
          <w:rFonts w:ascii="Arial" w:hAnsi="Arial" w:cs="Arial"/>
          <w:color w:val="000000" w:themeColor="text1"/>
          <w:sz w:val="24"/>
          <w:szCs w:val="24"/>
        </w:rPr>
        <w:t xml:space="preserve"> available to clients in the ESA Work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Related</w:t>
      </w:r>
      <w:r w:rsidR="00F55B78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2968" w:rsidRPr="00AF44BA">
        <w:rPr>
          <w:rFonts w:ascii="Arial" w:hAnsi="Arial" w:cs="Arial"/>
          <w:color w:val="000000" w:themeColor="text1"/>
          <w:sz w:val="24"/>
          <w:szCs w:val="24"/>
        </w:rPr>
        <w:t>Activity</w:t>
      </w:r>
      <w:r w:rsidR="00F55B78" w:rsidRPr="00AF44BA">
        <w:rPr>
          <w:rFonts w:ascii="Arial" w:hAnsi="Arial" w:cs="Arial"/>
          <w:color w:val="000000" w:themeColor="text1"/>
          <w:sz w:val="24"/>
          <w:szCs w:val="24"/>
        </w:rPr>
        <w:t xml:space="preserve"> Gro</w:t>
      </w:r>
      <w:r w:rsidR="00F82968" w:rsidRPr="00AF44BA">
        <w:rPr>
          <w:rFonts w:ascii="Arial" w:hAnsi="Arial" w:cs="Arial"/>
          <w:color w:val="000000" w:themeColor="text1"/>
          <w:sz w:val="24"/>
          <w:szCs w:val="24"/>
        </w:rPr>
        <w:t>u</w:t>
      </w:r>
      <w:r w:rsidR="00F55B78" w:rsidRPr="00AF44BA">
        <w:rPr>
          <w:rFonts w:ascii="Arial" w:hAnsi="Arial" w:cs="Arial"/>
          <w:color w:val="000000" w:themeColor="text1"/>
          <w:sz w:val="24"/>
          <w:szCs w:val="24"/>
        </w:rPr>
        <w:t>p</w:t>
      </w:r>
      <w:r w:rsidR="0018024B" w:rsidRPr="00AF44BA">
        <w:rPr>
          <w:rFonts w:ascii="Arial" w:hAnsi="Arial" w:cs="Arial"/>
          <w:color w:val="000000" w:themeColor="text1"/>
          <w:sz w:val="24"/>
          <w:szCs w:val="24"/>
        </w:rPr>
        <w:t>”</w:t>
      </w:r>
      <w:r w:rsidR="00F55B78" w:rsidRPr="00AF44BA">
        <w:rPr>
          <w:rFonts w:ascii="Arial" w:hAnsi="Arial" w:cs="Arial"/>
          <w:color w:val="000000" w:themeColor="text1"/>
          <w:sz w:val="24"/>
          <w:szCs w:val="24"/>
        </w:rPr>
        <w:t>.</w:t>
      </w:r>
      <w:r w:rsidR="00A062C1" w:rsidRPr="00AF44BA">
        <w:rPr>
          <w:rFonts w:ascii="Arial" w:hAnsi="Arial" w:cs="Arial"/>
          <w:color w:val="000000" w:themeColor="text1"/>
          <w:sz w:val="24"/>
          <w:szCs w:val="24"/>
        </w:rPr>
        <w:t xml:space="preserve">  Some of the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activities listed</w:t>
      </w:r>
      <w:r w:rsidR="00A85FB7" w:rsidRPr="00AF44BA">
        <w:rPr>
          <w:rFonts w:ascii="Arial" w:hAnsi="Arial" w:cs="Arial"/>
          <w:color w:val="000000" w:themeColor="text1"/>
          <w:sz w:val="24"/>
          <w:szCs w:val="24"/>
        </w:rPr>
        <w:t xml:space="preserve"> in those two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papers</w:t>
      </w:r>
      <w:r w:rsidR="00A85FB7" w:rsidRPr="00AF44BA">
        <w:rPr>
          <w:rFonts w:ascii="Arial" w:hAnsi="Arial" w:cs="Arial"/>
          <w:color w:val="000000" w:themeColor="text1"/>
          <w:sz w:val="24"/>
          <w:szCs w:val="24"/>
        </w:rPr>
        <w:t xml:space="preserve"> were undoubtedly capable of </w:t>
      </w:r>
      <w:r w:rsidR="00B378AA" w:rsidRPr="00AF44BA">
        <w:rPr>
          <w:rFonts w:ascii="Arial" w:hAnsi="Arial" w:cs="Arial"/>
          <w:color w:val="000000" w:themeColor="text1"/>
          <w:sz w:val="24"/>
          <w:szCs w:val="24"/>
        </w:rPr>
        <w:t xml:space="preserve">requiring </w:t>
      </w:r>
      <w:r w:rsidR="00A66978" w:rsidRPr="00AF44BA">
        <w:rPr>
          <w:rFonts w:ascii="Arial" w:hAnsi="Arial" w:cs="Arial"/>
          <w:color w:val="000000" w:themeColor="text1"/>
          <w:sz w:val="24"/>
          <w:szCs w:val="24"/>
        </w:rPr>
        <w:t>“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engagement</w:t>
      </w:r>
      <w:r w:rsidR="00B378AA" w:rsidRPr="00AF44BA">
        <w:rPr>
          <w:rFonts w:ascii="Arial" w:hAnsi="Arial" w:cs="Arial"/>
          <w:color w:val="000000" w:themeColor="text1"/>
          <w:sz w:val="24"/>
          <w:szCs w:val="24"/>
        </w:rPr>
        <w:t xml:space="preserve"> in social contact with someone unfamiliar t</w:t>
      </w:r>
      <w:r w:rsidR="00A66978" w:rsidRPr="00AF44BA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B378AA" w:rsidRPr="00AF44BA">
        <w:rPr>
          <w:rFonts w:ascii="Arial" w:hAnsi="Arial" w:cs="Arial"/>
          <w:color w:val="000000" w:themeColor="text1"/>
          <w:sz w:val="24"/>
          <w:szCs w:val="24"/>
        </w:rPr>
        <w:t>the claimant” and</w:t>
      </w:r>
      <w:r w:rsidR="00A66978" w:rsidRPr="00AF44BA">
        <w:rPr>
          <w:rFonts w:ascii="Arial" w:hAnsi="Arial" w:cs="Arial"/>
          <w:color w:val="000000" w:themeColor="text1"/>
          <w:sz w:val="24"/>
          <w:szCs w:val="24"/>
        </w:rPr>
        <w:t>/</w:t>
      </w:r>
      <w:r w:rsidR="00B378AA" w:rsidRPr="00AF44BA">
        <w:rPr>
          <w:rFonts w:ascii="Arial" w:hAnsi="Arial" w:cs="Arial"/>
          <w:color w:val="000000" w:themeColor="text1"/>
          <w:sz w:val="24"/>
          <w:szCs w:val="24"/>
        </w:rPr>
        <w:t xml:space="preserve">or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getting</w:t>
      </w:r>
      <w:r w:rsidR="00B378AA" w:rsidRPr="00AF44BA">
        <w:rPr>
          <w:rFonts w:ascii="Arial" w:hAnsi="Arial" w:cs="Arial"/>
          <w:color w:val="000000" w:themeColor="text1"/>
          <w:sz w:val="24"/>
          <w:szCs w:val="24"/>
        </w:rPr>
        <w:t xml:space="preserve"> to an unfamiliar place</w:t>
      </w:r>
      <w:r w:rsidR="00106B85" w:rsidRPr="00AF44BA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There</w:t>
      </w:r>
      <w:r w:rsidR="00106B85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39E" w:rsidRPr="00AF44BA">
        <w:rPr>
          <w:rFonts w:ascii="Arial" w:hAnsi="Arial" w:cs="Arial"/>
          <w:color w:val="000000" w:themeColor="text1"/>
          <w:sz w:val="24"/>
          <w:szCs w:val="24"/>
        </w:rPr>
        <w:t>were</w:t>
      </w:r>
      <w:r w:rsidR="00106B85" w:rsidRPr="00AF44BA">
        <w:rPr>
          <w:rFonts w:ascii="Arial" w:hAnsi="Arial" w:cs="Arial"/>
          <w:color w:val="000000" w:themeColor="text1"/>
          <w:sz w:val="24"/>
          <w:szCs w:val="24"/>
        </w:rPr>
        <w:t xml:space="preserve"> therefore in the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light</w:t>
      </w:r>
      <w:r w:rsidR="00106B85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3340" w:rsidRPr="00AF44BA">
        <w:rPr>
          <w:rFonts w:ascii="Arial" w:hAnsi="Arial" w:cs="Arial"/>
          <w:color w:val="000000" w:themeColor="text1"/>
          <w:sz w:val="24"/>
          <w:szCs w:val="24"/>
        </w:rPr>
        <w:t>o</w:t>
      </w:r>
      <w:r w:rsidR="00106B85" w:rsidRPr="00AF44BA">
        <w:rPr>
          <w:rFonts w:ascii="Arial" w:hAnsi="Arial" w:cs="Arial"/>
          <w:color w:val="000000" w:themeColor="text1"/>
          <w:sz w:val="24"/>
          <w:szCs w:val="24"/>
        </w:rPr>
        <w:t xml:space="preserve">f the tribunal’s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other</w:t>
      </w:r>
      <w:r w:rsidR="00230123" w:rsidRPr="00AF44BA">
        <w:rPr>
          <w:rFonts w:ascii="Arial" w:hAnsi="Arial" w:cs="Arial"/>
          <w:color w:val="000000" w:themeColor="text1"/>
          <w:sz w:val="24"/>
          <w:szCs w:val="24"/>
        </w:rPr>
        <w:t xml:space="preserve"> f</w:t>
      </w:r>
      <w:r w:rsidR="00BB092C" w:rsidRPr="00AF44BA">
        <w:rPr>
          <w:rFonts w:ascii="Arial" w:hAnsi="Arial" w:cs="Arial"/>
          <w:color w:val="000000" w:themeColor="text1"/>
          <w:sz w:val="24"/>
          <w:szCs w:val="24"/>
        </w:rPr>
        <w:t>i</w:t>
      </w:r>
      <w:r w:rsidR="003B3340" w:rsidRPr="00AF44BA">
        <w:rPr>
          <w:rFonts w:ascii="Arial" w:hAnsi="Arial" w:cs="Arial"/>
          <w:color w:val="000000" w:themeColor="text1"/>
          <w:sz w:val="24"/>
          <w:szCs w:val="24"/>
        </w:rPr>
        <w:t xml:space="preserve">ndings </w:t>
      </w:r>
      <w:r w:rsidR="00230123" w:rsidRPr="00AF44BA">
        <w:rPr>
          <w:rFonts w:ascii="Arial" w:hAnsi="Arial" w:cs="Arial"/>
          <w:color w:val="000000" w:themeColor="text1"/>
          <w:sz w:val="24"/>
          <w:szCs w:val="24"/>
        </w:rPr>
        <w:t>issue</w:t>
      </w:r>
      <w:r w:rsidR="008B439E" w:rsidRPr="00AF44BA">
        <w:rPr>
          <w:rFonts w:ascii="Arial" w:hAnsi="Arial" w:cs="Arial"/>
          <w:color w:val="000000" w:themeColor="text1"/>
          <w:sz w:val="24"/>
          <w:szCs w:val="24"/>
        </w:rPr>
        <w:t>s</w:t>
      </w:r>
      <w:r w:rsidR="00230123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092C" w:rsidRPr="00AF44BA">
        <w:rPr>
          <w:rFonts w:ascii="Arial" w:hAnsi="Arial" w:cs="Arial"/>
          <w:color w:val="000000" w:themeColor="text1"/>
          <w:sz w:val="24"/>
          <w:szCs w:val="24"/>
        </w:rPr>
        <w:t>requiring</w:t>
      </w:r>
      <w:r w:rsidR="00230123" w:rsidRPr="00AF44BA">
        <w:rPr>
          <w:rFonts w:ascii="Arial" w:hAnsi="Arial" w:cs="Arial"/>
          <w:color w:val="000000" w:themeColor="text1"/>
          <w:sz w:val="24"/>
          <w:szCs w:val="24"/>
        </w:rPr>
        <w:t xml:space="preserve"> to be addressed</w:t>
      </w:r>
      <w:r w:rsidR="001B6E42" w:rsidRPr="00AF44BA">
        <w:rPr>
          <w:rFonts w:ascii="Arial" w:hAnsi="Arial" w:cs="Arial"/>
          <w:color w:val="000000" w:themeColor="text1"/>
          <w:sz w:val="24"/>
          <w:szCs w:val="24"/>
        </w:rPr>
        <w:t xml:space="preserve">, as to the work-related activity the appellant might be required to undertake, whether it would involve the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activities</w:t>
      </w:r>
      <w:r w:rsidR="00B62F94" w:rsidRPr="00AF44BA">
        <w:rPr>
          <w:rFonts w:ascii="Arial" w:hAnsi="Arial" w:cs="Arial"/>
          <w:color w:val="000000" w:themeColor="text1"/>
          <w:sz w:val="24"/>
          <w:szCs w:val="24"/>
        </w:rPr>
        <w:t xml:space="preserve"> which</w:t>
      </w:r>
      <w:r w:rsidR="00BB092C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2F94" w:rsidRPr="00AF44BA">
        <w:rPr>
          <w:rFonts w:ascii="Arial" w:hAnsi="Arial" w:cs="Arial"/>
          <w:color w:val="000000" w:themeColor="text1"/>
          <w:sz w:val="24"/>
          <w:szCs w:val="24"/>
        </w:rPr>
        <w:t xml:space="preserve">the tribunal </w:t>
      </w:r>
      <w:r w:rsidR="00BB092C" w:rsidRPr="00AF44BA">
        <w:rPr>
          <w:rFonts w:ascii="Arial" w:hAnsi="Arial" w:cs="Arial"/>
          <w:color w:val="000000" w:themeColor="text1"/>
          <w:sz w:val="24"/>
          <w:szCs w:val="24"/>
        </w:rPr>
        <w:t>had</w:t>
      </w:r>
      <w:r w:rsidR="00B62F94" w:rsidRPr="00AF44BA">
        <w:rPr>
          <w:rFonts w:ascii="Arial" w:hAnsi="Arial" w:cs="Arial"/>
          <w:color w:val="000000" w:themeColor="text1"/>
          <w:sz w:val="24"/>
          <w:szCs w:val="24"/>
        </w:rPr>
        <w:t xml:space="preserve"> found she could not </w:t>
      </w:r>
      <w:r w:rsidR="00E14F52" w:rsidRPr="00AF44BA">
        <w:rPr>
          <w:rFonts w:ascii="Arial" w:hAnsi="Arial" w:cs="Arial"/>
          <w:color w:val="000000" w:themeColor="text1"/>
          <w:sz w:val="24"/>
          <w:szCs w:val="24"/>
        </w:rPr>
        <w:t>manage</w:t>
      </w:r>
      <w:r w:rsidR="008221B9" w:rsidRPr="00AF44BA">
        <w:rPr>
          <w:rFonts w:ascii="Arial" w:hAnsi="Arial" w:cs="Arial"/>
          <w:color w:val="000000" w:themeColor="text1"/>
          <w:sz w:val="24"/>
          <w:szCs w:val="24"/>
        </w:rPr>
        <w:t xml:space="preserve"> and the </w:t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consequences</w:t>
      </w:r>
      <w:r w:rsidR="008221B9" w:rsidRPr="00AF44BA">
        <w:rPr>
          <w:rFonts w:ascii="Arial" w:hAnsi="Arial" w:cs="Arial"/>
          <w:color w:val="000000" w:themeColor="text1"/>
          <w:sz w:val="24"/>
          <w:szCs w:val="24"/>
        </w:rPr>
        <w:t xml:space="preserve"> for her health </w:t>
      </w:r>
      <w:r w:rsidR="009A6D9E" w:rsidRPr="00AF44BA">
        <w:rPr>
          <w:rFonts w:ascii="Arial" w:hAnsi="Arial" w:cs="Arial"/>
          <w:color w:val="000000" w:themeColor="text1"/>
          <w:sz w:val="24"/>
          <w:szCs w:val="24"/>
        </w:rPr>
        <w:t>if</w:t>
      </w:r>
      <w:r w:rsidR="008221B9" w:rsidRPr="00AF44BA">
        <w:rPr>
          <w:rFonts w:ascii="Arial" w:hAnsi="Arial" w:cs="Arial"/>
          <w:color w:val="000000" w:themeColor="text1"/>
          <w:sz w:val="24"/>
          <w:szCs w:val="24"/>
        </w:rPr>
        <w:t xml:space="preserve"> she had to do them.</w:t>
      </w:r>
    </w:p>
    <w:p w14:paraId="12E78180" w14:textId="77777777" w:rsidR="0018024B" w:rsidRPr="00AF44BA" w:rsidRDefault="0018024B" w:rsidP="00AD7B7B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rPr>
          <w:rFonts w:ascii="Arial" w:hAnsi="Arial" w:cs="Arial"/>
          <w:color w:val="000000" w:themeColor="text1"/>
          <w:sz w:val="24"/>
          <w:szCs w:val="24"/>
        </w:rPr>
      </w:pPr>
    </w:p>
    <w:p w14:paraId="565FB635" w14:textId="1CC08601" w:rsidR="00230123" w:rsidRPr="00AF44BA" w:rsidRDefault="00AD7B7B" w:rsidP="00AD7B7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334BE" w:rsidRPr="00AF44BA">
        <w:rPr>
          <w:rFonts w:ascii="Arial" w:hAnsi="Arial" w:cs="Arial"/>
          <w:color w:val="000000" w:themeColor="text1"/>
          <w:sz w:val="24"/>
          <w:szCs w:val="24"/>
        </w:rPr>
        <w:t>The degree</w:t>
      </w:r>
      <w:r w:rsidR="00230123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7B1E" w:rsidRPr="00AF44BA">
        <w:rPr>
          <w:rFonts w:ascii="Arial" w:hAnsi="Arial" w:cs="Arial"/>
          <w:color w:val="000000" w:themeColor="text1"/>
          <w:sz w:val="24"/>
          <w:szCs w:val="24"/>
        </w:rPr>
        <w:t>of</w:t>
      </w:r>
      <w:r w:rsidR="00230123" w:rsidRPr="00AF44BA">
        <w:rPr>
          <w:rFonts w:ascii="Arial" w:hAnsi="Arial" w:cs="Arial"/>
          <w:color w:val="000000" w:themeColor="text1"/>
          <w:sz w:val="24"/>
          <w:szCs w:val="24"/>
        </w:rPr>
        <w:t xml:space="preserve"> detail required </w:t>
      </w:r>
      <w:r w:rsidR="00435BE8" w:rsidRPr="00AF44BA">
        <w:rPr>
          <w:rFonts w:ascii="Arial" w:hAnsi="Arial" w:cs="Arial"/>
          <w:color w:val="000000" w:themeColor="text1"/>
          <w:sz w:val="24"/>
          <w:szCs w:val="24"/>
        </w:rPr>
        <w:t>of a tribunal’s reasons when addressing reg 31 (or</w:t>
      </w:r>
      <w:r w:rsidR="003D1DF6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9A7BD6" w:rsidRPr="00AF44BA">
        <w:rPr>
          <w:rFonts w:ascii="Arial" w:hAnsi="Arial" w:cs="Arial"/>
          <w:color w:val="000000" w:themeColor="text1"/>
          <w:sz w:val="24"/>
          <w:szCs w:val="24"/>
        </w:rPr>
        <w:t>similarly-structured</w:t>
      </w:r>
      <w:proofErr w:type="gramEnd"/>
      <w:r w:rsidR="008B6B3D" w:rsidRPr="00AF44BA">
        <w:rPr>
          <w:rFonts w:ascii="Arial" w:hAnsi="Arial" w:cs="Arial"/>
          <w:color w:val="000000" w:themeColor="text1"/>
          <w:sz w:val="24"/>
          <w:szCs w:val="24"/>
        </w:rPr>
        <w:t xml:space="preserve"> provisions</w:t>
      </w:r>
      <w:r w:rsidR="00BA29E7" w:rsidRPr="00AF44BA">
        <w:rPr>
          <w:rFonts w:ascii="Arial" w:hAnsi="Arial" w:cs="Arial"/>
          <w:color w:val="000000" w:themeColor="text1"/>
          <w:sz w:val="24"/>
          <w:szCs w:val="24"/>
        </w:rPr>
        <w:t xml:space="preserve"> such as reg 29 of the Employment and Support Allowance Regulations 2008 in </w:t>
      </w:r>
      <w:r w:rsidR="004E7B1E" w:rsidRPr="00AF44BA">
        <w:rPr>
          <w:rFonts w:ascii="Arial" w:hAnsi="Arial" w:cs="Arial"/>
          <w:color w:val="000000" w:themeColor="text1"/>
          <w:sz w:val="24"/>
          <w:szCs w:val="24"/>
        </w:rPr>
        <w:t>G</w:t>
      </w:r>
      <w:r w:rsidR="00FF0E9E" w:rsidRPr="00AF44BA">
        <w:rPr>
          <w:rFonts w:ascii="Arial" w:hAnsi="Arial" w:cs="Arial"/>
          <w:color w:val="000000" w:themeColor="text1"/>
          <w:sz w:val="24"/>
          <w:szCs w:val="24"/>
        </w:rPr>
        <w:t>reat</w:t>
      </w:r>
      <w:r w:rsidR="00BA29E7" w:rsidRPr="00AF44BA">
        <w:rPr>
          <w:rFonts w:ascii="Arial" w:hAnsi="Arial" w:cs="Arial"/>
          <w:color w:val="000000" w:themeColor="text1"/>
          <w:sz w:val="24"/>
          <w:szCs w:val="24"/>
        </w:rPr>
        <w:t xml:space="preserve"> Britain</w:t>
      </w:r>
      <w:r w:rsidR="008B6B3D" w:rsidRPr="00AF44B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4E7B1E" w:rsidRPr="00AF44BA">
        <w:rPr>
          <w:rFonts w:ascii="Arial" w:hAnsi="Arial" w:cs="Arial"/>
          <w:color w:val="000000" w:themeColor="text1"/>
          <w:sz w:val="24"/>
          <w:szCs w:val="24"/>
        </w:rPr>
        <w:t>depends</w:t>
      </w:r>
      <w:r w:rsidR="008B6B3D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7B1E" w:rsidRPr="00AF44BA">
        <w:rPr>
          <w:rFonts w:ascii="Arial" w:hAnsi="Arial" w:cs="Arial"/>
          <w:color w:val="000000" w:themeColor="text1"/>
          <w:sz w:val="24"/>
          <w:szCs w:val="24"/>
        </w:rPr>
        <w:t>on</w:t>
      </w:r>
      <w:r w:rsidR="008B6B3D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7B1E" w:rsidRPr="00AF44B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FF0E9E" w:rsidRPr="00AF44BA">
        <w:rPr>
          <w:rFonts w:ascii="Arial" w:hAnsi="Arial" w:cs="Arial"/>
          <w:color w:val="000000" w:themeColor="text1"/>
          <w:sz w:val="24"/>
          <w:szCs w:val="24"/>
        </w:rPr>
        <w:t>circumstances</w:t>
      </w:r>
      <w:r w:rsidR="008B6B3D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7B1E" w:rsidRPr="00AF44BA">
        <w:rPr>
          <w:rFonts w:ascii="Arial" w:hAnsi="Arial" w:cs="Arial"/>
          <w:color w:val="000000" w:themeColor="text1"/>
          <w:sz w:val="24"/>
          <w:szCs w:val="24"/>
        </w:rPr>
        <w:t>o</w:t>
      </w:r>
      <w:r w:rsidR="008B6B3D" w:rsidRPr="00AF44BA">
        <w:rPr>
          <w:rFonts w:ascii="Arial" w:hAnsi="Arial" w:cs="Arial"/>
          <w:color w:val="000000" w:themeColor="text1"/>
          <w:sz w:val="24"/>
          <w:szCs w:val="24"/>
        </w:rPr>
        <w:t>f</w:t>
      </w:r>
      <w:r w:rsidR="004E7B1E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6B3D" w:rsidRPr="00AF44BA">
        <w:rPr>
          <w:rFonts w:ascii="Arial" w:hAnsi="Arial" w:cs="Arial"/>
          <w:color w:val="000000" w:themeColor="text1"/>
          <w:sz w:val="24"/>
          <w:szCs w:val="24"/>
        </w:rPr>
        <w:t>t</w:t>
      </w:r>
      <w:r w:rsidR="004E7B1E" w:rsidRPr="00AF44BA">
        <w:rPr>
          <w:rFonts w:ascii="Arial" w:hAnsi="Arial" w:cs="Arial"/>
          <w:color w:val="000000" w:themeColor="text1"/>
          <w:sz w:val="24"/>
          <w:szCs w:val="24"/>
        </w:rPr>
        <w:t>h</w:t>
      </w:r>
      <w:r w:rsidR="008B6B3D" w:rsidRPr="00AF44BA">
        <w:rPr>
          <w:rFonts w:ascii="Arial" w:hAnsi="Arial" w:cs="Arial"/>
          <w:color w:val="000000" w:themeColor="text1"/>
          <w:sz w:val="24"/>
          <w:szCs w:val="24"/>
        </w:rPr>
        <w:t>e case</w:t>
      </w:r>
      <w:r w:rsidR="006C20A4" w:rsidRPr="00AF44B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B7866" w:rsidRPr="00AF44BA">
        <w:rPr>
          <w:rFonts w:ascii="Arial" w:hAnsi="Arial" w:cs="Arial"/>
          <w:color w:val="000000" w:themeColor="text1"/>
          <w:sz w:val="24"/>
          <w:szCs w:val="24"/>
        </w:rPr>
        <w:t xml:space="preserve"> An indication of the degree of detail </w:t>
      </w:r>
      <w:r w:rsidR="004158D8" w:rsidRPr="00AF44BA">
        <w:rPr>
          <w:rFonts w:ascii="Arial" w:hAnsi="Arial" w:cs="Arial"/>
          <w:color w:val="000000" w:themeColor="text1"/>
          <w:sz w:val="24"/>
          <w:szCs w:val="24"/>
        </w:rPr>
        <w:t>required in many cases can be found</w:t>
      </w:r>
      <w:r w:rsidR="006C20A4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58D8" w:rsidRPr="00AF44BA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 w:rsidR="008B439E" w:rsidRPr="00AF44BA">
        <w:rPr>
          <w:rFonts w:ascii="Arial" w:hAnsi="Arial" w:cs="Arial"/>
          <w:color w:val="000000" w:themeColor="text1"/>
          <w:sz w:val="24"/>
          <w:szCs w:val="24"/>
        </w:rPr>
        <w:t xml:space="preserve">Upper Tribunal </w:t>
      </w:r>
      <w:r w:rsidR="006C20A4" w:rsidRPr="00AF44BA">
        <w:rPr>
          <w:rFonts w:ascii="Arial" w:hAnsi="Arial" w:cs="Arial"/>
          <w:color w:val="000000" w:themeColor="text1"/>
          <w:sz w:val="24"/>
          <w:szCs w:val="24"/>
        </w:rPr>
        <w:t>Judge White</w:t>
      </w:r>
      <w:r w:rsidR="004158D8" w:rsidRPr="00AF44BA">
        <w:rPr>
          <w:rFonts w:ascii="Arial" w:hAnsi="Arial" w:cs="Arial"/>
          <w:color w:val="000000" w:themeColor="text1"/>
          <w:sz w:val="24"/>
          <w:szCs w:val="24"/>
        </w:rPr>
        <w:t xml:space="preserve">’s </w:t>
      </w:r>
      <w:r w:rsidR="006C20A4" w:rsidRPr="00AF44BA">
        <w:rPr>
          <w:rFonts w:ascii="Arial" w:hAnsi="Arial" w:cs="Arial"/>
          <w:color w:val="000000" w:themeColor="text1"/>
          <w:sz w:val="24"/>
          <w:szCs w:val="24"/>
        </w:rPr>
        <w:t>observ</w:t>
      </w:r>
      <w:r w:rsidR="00155ECD" w:rsidRPr="00AF44BA">
        <w:rPr>
          <w:rFonts w:ascii="Arial" w:hAnsi="Arial" w:cs="Arial"/>
          <w:color w:val="000000" w:themeColor="text1"/>
          <w:sz w:val="24"/>
          <w:szCs w:val="24"/>
        </w:rPr>
        <w:t>ations</w:t>
      </w:r>
      <w:r w:rsidR="006C20A4" w:rsidRPr="00AF44BA">
        <w:rPr>
          <w:rFonts w:ascii="Arial" w:hAnsi="Arial" w:cs="Arial"/>
          <w:color w:val="000000" w:themeColor="text1"/>
          <w:sz w:val="24"/>
          <w:szCs w:val="24"/>
        </w:rPr>
        <w:t xml:space="preserve"> in </w:t>
      </w:r>
      <w:r w:rsidR="00C51C58" w:rsidRPr="00AF44B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NS v </w:t>
      </w:r>
      <w:r w:rsidR="00D746CF" w:rsidRPr="00AF44B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SSWP (ESA) </w:t>
      </w:r>
      <w:r w:rsidR="00D746CF" w:rsidRPr="00AF44BA">
        <w:rPr>
          <w:rFonts w:ascii="Arial" w:hAnsi="Arial" w:cs="Arial"/>
          <w:color w:val="000000" w:themeColor="text1"/>
          <w:sz w:val="24"/>
          <w:szCs w:val="24"/>
        </w:rPr>
        <w:t>[2014] UKUT 115 (AAC) [2014] AAC</w:t>
      </w:r>
      <w:r w:rsidR="00E20012" w:rsidRPr="00AF44BA">
        <w:rPr>
          <w:rFonts w:ascii="Arial" w:hAnsi="Arial" w:cs="Arial"/>
          <w:color w:val="000000" w:themeColor="text1"/>
          <w:sz w:val="24"/>
          <w:szCs w:val="24"/>
        </w:rPr>
        <w:t>R 33:</w:t>
      </w:r>
    </w:p>
    <w:p w14:paraId="30DDFDA0" w14:textId="77777777" w:rsidR="0018024B" w:rsidRPr="00AF44BA" w:rsidRDefault="0018024B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57ABF4" w14:textId="2EB7BEAD" w:rsidR="002276C9" w:rsidRPr="00AF44BA" w:rsidRDefault="00155ECD" w:rsidP="00564452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“</w:t>
      </w:r>
      <w:r w:rsidR="002276C9" w:rsidRPr="00AF44BA">
        <w:rPr>
          <w:rFonts w:ascii="Arial" w:hAnsi="Arial" w:cs="Arial"/>
          <w:color w:val="000000" w:themeColor="text1"/>
          <w:sz w:val="24"/>
          <w:szCs w:val="24"/>
        </w:rPr>
        <w:t>51.</w:t>
      </w:r>
      <w:r w:rsidR="002276C9" w:rsidRPr="00AF44BA">
        <w:rPr>
          <w:rFonts w:ascii="Arial" w:hAnsi="Arial" w:cs="Arial"/>
          <w:color w:val="000000" w:themeColor="text1"/>
          <w:sz w:val="24"/>
          <w:szCs w:val="24"/>
        </w:rPr>
        <w:tab/>
        <w:t xml:space="preserve">I do not consider that the level of detail required for proper reasons on the application of regulation 29(2)(b) is high. </w:t>
      </w:r>
      <w:r w:rsidR="005644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76C9" w:rsidRPr="00AF44BA">
        <w:rPr>
          <w:rFonts w:ascii="Arial" w:hAnsi="Arial" w:cs="Arial"/>
          <w:color w:val="000000" w:themeColor="text1"/>
          <w:sz w:val="24"/>
          <w:szCs w:val="24"/>
        </w:rPr>
        <w:t>The more obvious it is that regulation 29(2)(b) does not apply, the easier it should be to give reasons why that is so.</w:t>
      </w:r>
    </w:p>
    <w:p w14:paraId="716C9EC2" w14:textId="77777777" w:rsidR="0018024B" w:rsidRPr="00AF44BA" w:rsidRDefault="0018024B" w:rsidP="00564452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1360A0" w14:textId="5A1AC0EC" w:rsidR="002276C9" w:rsidRPr="00AF44BA" w:rsidRDefault="002276C9" w:rsidP="00564452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52.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ab/>
        <w:t xml:space="preserve">What is frequently missing from brief statements that regulation 29(2)(b) does not apply is the addition of a statement as to why it does not apply. </w:t>
      </w:r>
      <w:r w:rsidR="005644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This is exemplified by the statement in the appeal before me, where the tribunal said:</w:t>
      </w:r>
    </w:p>
    <w:p w14:paraId="556EC68C" w14:textId="77777777" w:rsidR="0018024B" w:rsidRPr="00AF44BA" w:rsidRDefault="0018024B" w:rsidP="00564452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C3BC68" w14:textId="77777777" w:rsidR="002276C9" w:rsidRPr="00AF44BA" w:rsidRDefault="002276C9" w:rsidP="00564452">
      <w:pPr>
        <w:tabs>
          <w:tab w:val="left" w:pos="510"/>
          <w:tab w:val="left" w:pos="1077"/>
          <w:tab w:val="left" w:pos="1797"/>
        </w:tabs>
        <w:spacing w:after="0" w:line="240" w:lineRule="auto"/>
        <w:ind w:left="1797" w:right="17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“Regulation 29 does not apply as the Tribunal was not satisfied that there was a substantial risk to the appellant or to any person if he were not found to have limited capability for work.”</w:t>
      </w:r>
    </w:p>
    <w:p w14:paraId="111FA991" w14:textId="77777777" w:rsidR="0018024B" w:rsidRPr="00AF44BA" w:rsidRDefault="0018024B" w:rsidP="00564452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B8D39B" w14:textId="77DF8B33" w:rsidR="002276C9" w:rsidRPr="00AF44BA" w:rsidRDefault="002276C9" w:rsidP="00564452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53.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ab/>
        <w:t xml:space="preserve">What is needed is for that sentence to end in a comma and to be followed by the word “because” and then a phrase or two explaining why regulation 29(2)(b) does not apply. </w:t>
      </w:r>
      <w:r w:rsidR="005644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After all, if the tribunal has done a proper job in considering regulation 29(2)(b) they must have considered why the regulation did not apply. </w:t>
      </w:r>
      <w:r w:rsidR="005644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 xml:space="preserve">Otherwise, this is a mere formulaic response to the issue. </w:t>
      </w:r>
      <w:r w:rsidR="0056445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44BA">
        <w:rPr>
          <w:rFonts w:ascii="Arial" w:hAnsi="Arial" w:cs="Arial"/>
          <w:color w:val="000000" w:themeColor="text1"/>
          <w:sz w:val="24"/>
          <w:szCs w:val="24"/>
        </w:rPr>
        <w:t>A tribunal which embarks upon a consideration of regulation 29(2)(b) must do a proper job of considering it.</w:t>
      </w:r>
      <w:r w:rsidR="00155ECD" w:rsidRPr="00AF44BA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7B9A900F" w14:textId="77777777" w:rsidR="0018024B" w:rsidRPr="00AF44BA" w:rsidRDefault="0018024B" w:rsidP="001C6D14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959CD6" w14:textId="33D23843" w:rsidR="002276C9" w:rsidRPr="00AF44BA" w:rsidRDefault="00564452" w:rsidP="00564452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BC21CC" w:rsidRPr="00AF44BA">
        <w:rPr>
          <w:rFonts w:ascii="Arial" w:hAnsi="Arial" w:cs="Arial"/>
          <w:color w:val="000000" w:themeColor="text1"/>
          <w:sz w:val="24"/>
          <w:szCs w:val="24"/>
        </w:rPr>
        <w:t xml:space="preserve">In the </w:t>
      </w:r>
      <w:r w:rsidR="00FF0E9E" w:rsidRPr="00AF44BA">
        <w:rPr>
          <w:rFonts w:ascii="Arial" w:hAnsi="Arial" w:cs="Arial"/>
          <w:color w:val="000000" w:themeColor="text1"/>
          <w:sz w:val="24"/>
          <w:szCs w:val="24"/>
        </w:rPr>
        <w:t>present</w:t>
      </w:r>
      <w:r w:rsidR="00BC21CC" w:rsidRPr="00AF44BA">
        <w:rPr>
          <w:rFonts w:ascii="Arial" w:hAnsi="Arial" w:cs="Arial"/>
          <w:color w:val="000000" w:themeColor="text1"/>
          <w:sz w:val="24"/>
          <w:szCs w:val="24"/>
        </w:rPr>
        <w:t xml:space="preserve"> case</w:t>
      </w:r>
      <w:r w:rsidR="0032731E" w:rsidRPr="00AF44B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846D7" w:rsidRPr="00AF44BA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9C35E3" w:rsidRPr="00AF44BA">
        <w:rPr>
          <w:rFonts w:ascii="Arial" w:hAnsi="Arial" w:cs="Arial"/>
          <w:color w:val="000000" w:themeColor="text1"/>
          <w:sz w:val="24"/>
          <w:szCs w:val="24"/>
        </w:rPr>
        <w:t xml:space="preserve">tribunal needed to address the </w:t>
      </w:r>
      <w:r w:rsidR="00FF0E9E" w:rsidRPr="00AF44BA">
        <w:rPr>
          <w:rFonts w:ascii="Arial" w:hAnsi="Arial" w:cs="Arial"/>
          <w:color w:val="000000" w:themeColor="text1"/>
          <w:sz w:val="24"/>
          <w:szCs w:val="24"/>
        </w:rPr>
        <w:t>grounds</w:t>
      </w:r>
      <w:r w:rsidR="009C35E3" w:rsidRPr="00AF44BA">
        <w:rPr>
          <w:rFonts w:ascii="Arial" w:hAnsi="Arial" w:cs="Arial"/>
          <w:color w:val="000000" w:themeColor="text1"/>
          <w:sz w:val="24"/>
          <w:szCs w:val="24"/>
        </w:rPr>
        <w:t xml:space="preserve"> submitted why reg 31 should apply, limited as they appear to have been</w:t>
      </w:r>
      <w:r w:rsidR="00CA0C3B" w:rsidRPr="00AF44BA">
        <w:rPr>
          <w:rFonts w:ascii="Arial" w:hAnsi="Arial" w:cs="Arial"/>
          <w:color w:val="000000" w:themeColor="text1"/>
          <w:sz w:val="24"/>
          <w:szCs w:val="24"/>
        </w:rPr>
        <w:t>, and</w:t>
      </w:r>
      <w:r w:rsidR="00155ECD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0C3B" w:rsidRPr="00AF44BA">
        <w:rPr>
          <w:rFonts w:ascii="Arial" w:hAnsi="Arial" w:cs="Arial"/>
          <w:color w:val="000000" w:themeColor="text1"/>
          <w:sz w:val="24"/>
          <w:szCs w:val="24"/>
        </w:rPr>
        <w:t>might have be</w:t>
      </w:r>
      <w:r w:rsidR="008A62F9" w:rsidRPr="00AF44BA">
        <w:rPr>
          <w:rFonts w:ascii="Arial" w:hAnsi="Arial" w:cs="Arial"/>
          <w:color w:val="000000" w:themeColor="text1"/>
          <w:sz w:val="24"/>
          <w:szCs w:val="24"/>
        </w:rPr>
        <w:t>e</w:t>
      </w:r>
      <w:r w:rsidR="00CA0C3B" w:rsidRPr="00AF44BA">
        <w:rPr>
          <w:rFonts w:ascii="Arial" w:hAnsi="Arial" w:cs="Arial"/>
          <w:color w:val="000000" w:themeColor="text1"/>
          <w:sz w:val="24"/>
          <w:szCs w:val="24"/>
        </w:rPr>
        <w:t xml:space="preserve">n able to do so in </w:t>
      </w:r>
      <w:proofErr w:type="gramStart"/>
      <w:r w:rsidR="00CA0C3B" w:rsidRPr="00AF44BA">
        <w:rPr>
          <w:rFonts w:ascii="Arial" w:hAnsi="Arial" w:cs="Arial"/>
          <w:color w:val="000000" w:themeColor="text1"/>
          <w:sz w:val="24"/>
          <w:szCs w:val="24"/>
        </w:rPr>
        <w:t>fairly brief</w:t>
      </w:r>
      <w:proofErr w:type="gramEnd"/>
      <w:r w:rsidR="00CA0C3B" w:rsidRPr="00AF44BA">
        <w:rPr>
          <w:rFonts w:ascii="Arial" w:hAnsi="Arial" w:cs="Arial"/>
          <w:color w:val="000000" w:themeColor="text1"/>
          <w:sz w:val="24"/>
          <w:szCs w:val="24"/>
        </w:rPr>
        <w:t xml:space="preserve"> terms</w:t>
      </w:r>
      <w:r w:rsidR="008A62F9" w:rsidRPr="00AF44BA">
        <w:rPr>
          <w:rFonts w:ascii="Arial" w:hAnsi="Arial" w:cs="Arial"/>
          <w:color w:val="000000" w:themeColor="text1"/>
          <w:sz w:val="24"/>
          <w:szCs w:val="24"/>
        </w:rPr>
        <w:t>, but a bald statement that reg</w:t>
      </w:r>
      <w:r w:rsidR="00A118AF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2F9" w:rsidRPr="00AF44BA">
        <w:rPr>
          <w:rFonts w:ascii="Arial" w:hAnsi="Arial" w:cs="Arial"/>
          <w:color w:val="000000" w:themeColor="text1"/>
          <w:sz w:val="24"/>
          <w:szCs w:val="24"/>
        </w:rPr>
        <w:t>31 did not apply was insufficient</w:t>
      </w:r>
      <w:r w:rsidR="00CA0C3B" w:rsidRPr="00AF44BA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7D11" w:rsidRPr="00AF44BA">
        <w:rPr>
          <w:rFonts w:ascii="Arial" w:hAnsi="Arial" w:cs="Arial"/>
          <w:color w:val="000000" w:themeColor="text1"/>
          <w:sz w:val="24"/>
          <w:szCs w:val="24"/>
        </w:rPr>
        <w:t xml:space="preserve"> In view of its findings and the points it awarded, it also</w:t>
      </w:r>
      <w:r w:rsidR="008A6438" w:rsidRPr="00AF44BA">
        <w:rPr>
          <w:rFonts w:ascii="Arial" w:hAnsi="Arial" w:cs="Arial"/>
          <w:color w:val="000000" w:themeColor="text1"/>
          <w:sz w:val="24"/>
          <w:szCs w:val="24"/>
        </w:rPr>
        <w:t xml:space="preserve"> needed to address </w:t>
      </w:r>
      <w:r w:rsidR="008A62F9" w:rsidRPr="00AF44BA">
        <w:rPr>
          <w:rFonts w:ascii="Arial" w:hAnsi="Arial" w:cs="Arial"/>
          <w:color w:val="000000" w:themeColor="text1"/>
          <w:sz w:val="24"/>
          <w:szCs w:val="24"/>
        </w:rPr>
        <w:t>why</w:t>
      </w:r>
      <w:r w:rsidR="008A6438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439E" w:rsidRPr="00AF44BA">
        <w:rPr>
          <w:rFonts w:ascii="Arial" w:hAnsi="Arial" w:cs="Arial"/>
          <w:color w:val="000000" w:themeColor="text1"/>
          <w:sz w:val="24"/>
          <w:szCs w:val="24"/>
        </w:rPr>
        <w:t xml:space="preserve">it considered </w:t>
      </w:r>
      <w:r w:rsidR="008A6438" w:rsidRPr="00AF44BA">
        <w:rPr>
          <w:rFonts w:ascii="Arial" w:hAnsi="Arial" w:cs="Arial"/>
          <w:color w:val="000000" w:themeColor="text1"/>
          <w:sz w:val="24"/>
          <w:szCs w:val="24"/>
        </w:rPr>
        <w:t>nonetheless reg</w:t>
      </w:r>
      <w:r w:rsidR="00A118AF" w:rsidRPr="00AF44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438" w:rsidRPr="00AF44BA">
        <w:rPr>
          <w:rFonts w:ascii="Arial" w:hAnsi="Arial" w:cs="Arial"/>
          <w:color w:val="000000" w:themeColor="text1"/>
          <w:sz w:val="24"/>
          <w:szCs w:val="24"/>
        </w:rPr>
        <w:t>31 did not apply to the appellant</w:t>
      </w:r>
      <w:r w:rsidR="005F6034" w:rsidRPr="00AF44BA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34A0" w:rsidRPr="00AF44BA">
        <w:rPr>
          <w:rFonts w:ascii="Arial" w:hAnsi="Arial" w:cs="Arial"/>
          <w:color w:val="000000" w:themeColor="text1"/>
          <w:sz w:val="24"/>
          <w:szCs w:val="24"/>
        </w:rPr>
        <w:t xml:space="preserve"> For (in </w:t>
      </w:r>
      <w:r w:rsidR="00893F63" w:rsidRPr="00AF44BA">
        <w:rPr>
          <w:rFonts w:ascii="Arial" w:hAnsi="Arial" w:cs="Arial"/>
          <w:color w:val="000000" w:themeColor="text1"/>
          <w:sz w:val="24"/>
          <w:szCs w:val="24"/>
        </w:rPr>
        <w:t>particular</w:t>
      </w:r>
      <w:r w:rsidR="008E34A0" w:rsidRPr="00AF44BA">
        <w:rPr>
          <w:rFonts w:ascii="Arial" w:hAnsi="Arial" w:cs="Arial"/>
          <w:color w:val="000000" w:themeColor="text1"/>
          <w:sz w:val="24"/>
          <w:szCs w:val="24"/>
        </w:rPr>
        <w:t>) the latter reason, I allow the appeal and set t</w:t>
      </w:r>
      <w:r w:rsidR="00106DA0" w:rsidRPr="00AF44BA">
        <w:rPr>
          <w:rFonts w:ascii="Arial" w:hAnsi="Arial" w:cs="Arial"/>
          <w:color w:val="000000" w:themeColor="text1"/>
          <w:sz w:val="24"/>
          <w:szCs w:val="24"/>
        </w:rPr>
        <w:t>he</w:t>
      </w:r>
      <w:r w:rsidR="008E34A0" w:rsidRPr="00AF44BA">
        <w:rPr>
          <w:rFonts w:ascii="Arial" w:hAnsi="Arial" w:cs="Arial"/>
          <w:color w:val="000000" w:themeColor="text1"/>
          <w:sz w:val="24"/>
          <w:szCs w:val="24"/>
        </w:rPr>
        <w:t xml:space="preserve"> tribunal’s decision aside.</w:t>
      </w:r>
    </w:p>
    <w:p w14:paraId="1AD5651B" w14:textId="1D123CCA" w:rsidR="00F87C7F" w:rsidRDefault="00F87C7F" w:rsidP="000876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1CE8BC" wp14:editId="3D998CD9">
            <wp:simplePos x="0" y="0"/>
            <wp:positionH relativeFrom="column">
              <wp:posOffset>592455</wp:posOffset>
            </wp:positionH>
            <wp:positionV relativeFrom="paragraph">
              <wp:posOffset>74930</wp:posOffset>
            </wp:positionV>
            <wp:extent cx="2336800" cy="374650"/>
            <wp:effectExtent l="0" t="0" r="6350" b="6350"/>
            <wp:wrapTight wrapText="bothSides">
              <wp:wrapPolygon edited="0">
                <wp:start x="0" y="0"/>
                <wp:lineTo x="0" y="20868"/>
                <wp:lineTo x="21483" y="20868"/>
                <wp:lineTo x="21483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4" b="17708"/>
                    <a:stretch/>
                  </pic:blipFill>
                  <pic:spPr bwMode="auto">
                    <a:xfrm>
                      <a:off x="0" y="0"/>
                      <a:ext cx="23368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844AB" w14:textId="57B02F45" w:rsidR="00F87C7F" w:rsidRDefault="00F87C7F" w:rsidP="000876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2554EB3" w14:textId="0264FBC4" w:rsidR="00A118AF" w:rsidRPr="00AF44BA" w:rsidRDefault="00A118AF" w:rsidP="000876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C19214" w14:textId="06785E02" w:rsidR="00A118AF" w:rsidRPr="00F87C7F" w:rsidRDefault="00A118AF" w:rsidP="0008769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(Signed):</w:t>
      </w:r>
      <w:r w:rsidR="00F87C7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87C7F">
        <w:rPr>
          <w:rFonts w:ascii="Arial" w:hAnsi="Arial" w:cs="Arial"/>
          <w:bCs/>
          <w:color w:val="000000" w:themeColor="text1"/>
          <w:sz w:val="24"/>
          <w:szCs w:val="24"/>
        </w:rPr>
        <w:t>C G WARD</w:t>
      </w:r>
    </w:p>
    <w:p w14:paraId="642A9A50" w14:textId="77777777" w:rsidR="00F87C7F" w:rsidRDefault="00F87C7F" w:rsidP="0008769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F0DBDB8" w14:textId="33DA98F4" w:rsidR="00A118AF" w:rsidRPr="00F87C7F" w:rsidRDefault="00A118AF" w:rsidP="0008769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C7F">
        <w:rPr>
          <w:rFonts w:ascii="Arial" w:hAnsi="Arial" w:cs="Arial"/>
          <w:bCs/>
          <w:color w:val="000000" w:themeColor="text1"/>
          <w:sz w:val="24"/>
          <w:szCs w:val="24"/>
        </w:rPr>
        <w:t>DEPUTY COMMISSIONER (NI)</w:t>
      </w:r>
    </w:p>
    <w:p w14:paraId="1D33F504" w14:textId="77777777" w:rsidR="00A118AF" w:rsidRDefault="00A118AF" w:rsidP="0008769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20CD85E" w14:textId="77777777" w:rsidR="00F87C7F" w:rsidRPr="00F87C7F" w:rsidRDefault="00F87C7F" w:rsidP="00087695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4B64A1" w14:textId="77777777" w:rsidR="00A118AF" w:rsidRPr="00AF44BA" w:rsidRDefault="00A118AF" w:rsidP="000876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66C7B1" w14:textId="78DF4D6F" w:rsidR="00A118AF" w:rsidRPr="00AF44BA" w:rsidRDefault="000D214E" w:rsidP="00F87C7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F44BA">
        <w:rPr>
          <w:rFonts w:ascii="Arial" w:hAnsi="Arial" w:cs="Arial"/>
          <w:color w:val="000000" w:themeColor="text1"/>
          <w:sz w:val="24"/>
          <w:szCs w:val="24"/>
        </w:rPr>
        <w:t>1 April 2025</w:t>
      </w:r>
    </w:p>
    <w:sectPr w:rsidR="00A118AF" w:rsidRPr="00AF44BA" w:rsidSect="00AF44BA">
      <w:footerReference w:type="default" r:id="rId11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0916" w14:textId="77777777" w:rsidR="00AA22AC" w:rsidRDefault="00AA22AC" w:rsidP="005A5D5C">
      <w:pPr>
        <w:spacing w:after="0" w:line="240" w:lineRule="auto"/>
      </w:pPr>
      <w:r>
        <w:separator/>
      </w:r>
    </w:p>
  </w:endnote>
  <w:endnote w:type="continuationSeparator" w:id="0">
    <w:p w14:paraId="41820F4C" w14:textId="77777777" w:rsidR="00AA22AC" w:rsidRDefault="00AA22AC" w:rsidP="005A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AD1B" w14:textId="2B192A1A" w:rsidR="005A5D5C" w:rsidRPr="001C6D14" w:rsidRDefault="005A5D5C" w:rsidP="001C6D14">
    <w:pPr>
      <w:pStyle w:val="Footer"/>
      <w:jc w:val="center"/>
      <w:rPr>
        <w:rFonts w:ascii="Arial" w:hAnsi="Arial" w:cs="Arial"/>
        <w:sz w:val="24"/>
        <w:szCs w:val="24"/>
      </w:rPr>
    </w:pPr>
    <w:r w:rsidRPr="001C6D14">
      <w:rPr>
        <w:rFonts w:ascii="Arial" w:hAnsi="Arial" w:cs="Arial"/>
        <w:sz w:val="24"/>
        <w:szCs w:val="24"/>
      </w:rPr>
      <w:fldChar w:fldCharType="begin"/>
    </w:r>
    <w:r w:rsidRPr="001C6D14">
      <w:rPr>
        <w:rFonts w:ascii="Arial" w:hAnsi="Arial" w:cs="Arial"/>
        <w:sz w:val="24"/>
        <w:szCs w:val="24"/>
      </w:rPr>
      <w:instrText xml:space="preserve"> PAGE   \* MERGEFORMAT </w:instrText>
    </w:r>
    <w:r w:rsidRPr="001C6D14">
      <w:rPr>
        <w:rFonts w:ascii="Arial" w:hAnsi="Arial" w:cs="Arial"/>
        <w:sz w:val="24"/>
        <w:szCs w:val="24"/>
      </w:rPr>
      <w:fldChar w:fldCharType="separate"/>
    </w:r>
    <w:r w:rsidRPr="001C6D14">
      <w:rPr>
        <w:rFonts w:ascii="Arial" w:hAnsi="Arial" w:cs="Arial"/>
        <w:noProof/>
        <w:sz w:val="24"/>
        <w:szCs w:val="24"/>
      </w:rPr>
      <w:t>2</w:t>
    </w:r>
    <w:r w:rsidRPr="001C6D14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26C0" w14:textId="77777777" w:rsidR="00AA22AC" w:rsidRDefault="00AA22AC" w:rsidP="005A5D5C">
      <w:pPr>
        <w:spacing w:after="0" w:line="240" w:lineRule="auto"/>
      </w:pPr>
      <w:r>
        <w:separator/>
      </w:r>
    </w:p>
  </w:footnote>
  <w:footnote w:type="continuationSeparator" w:id="0">
    <w:p w14:paraId="505FAD52" w14:textId="77777777" w:rsidR="00AA22AC" w:rsidRDefault="00AA22AC" w:rsidP="005A5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6F4A"/>
    <w:multiLevelType w:val="hybridMultilevel"/>
    <w:tmpl w:val="61322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C7DD5"/>
    <w:multiLevelType w:val="hybridMultilevel"/>
    <w:tmpl w:val="3CEEF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426F9"/>
    <w:multiLevelType w:val="hybridMultilevel"/>
    <w:tmpl w:val="17B4DDB2"/>
    <w:lvl w:ilvl="0" w:tplc="4286A568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E17430"/>
    <w:multiLevelType w:val="hybridMultilevel"/>
    <w:tmpl w:val="30660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524E7"/>
    <w:multiLevelType w:val="hybridMultilevel"/>
    <w:tmpl w:val="BE7C4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70CDC"/>
    <w:multiLevelType w:val="hybridMultilevel"/>
    <w:tmpl w:val="27F2B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442467">
    <w:abstractNumId w:val="1"/>
  </w:num>
  <w:num w:numId="2" w16cid:durableId="439685290">
    <w:abstractNumId w:val="5"/>
  </w:num>
  <w:num w:numId="3" w16cid:durableId="1806121556">
    <w:abstractNumId w:val="3"/>
  </w:num>
  <w:num w:numId="4" w16cid:durableId="1504970427">
    <w:abstractNumId w:val="0"/>
  </w:num>
  <w:num w:numId="5" w16cid:durableId="1376353079">
    <w:abstractNumId w:val="4"/>
  </w:num>
  <w:num w:numId="6" w16cid:durableId="1177765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29"/>
    <w:rsid w:val="00011B34"/>
    <w:rsid w:val="00017CE2"/>
    <w:rsid w:val="00055329"/>
    <w:rsid w:val="000576CC"/>
    <w:rsid w:val="0007246C"/>
    <w:rsid w:val="00082A41"/>
    <w:rsid w:val="00085E00"/>
    <w:rsid w:val="00087695"/>
    <w:rsid w:val="000A09B9"/>
    <w:rsid w:val="000A2B97"/>
    <w:rsid w:val="000D214E"/>
    <w:rsid w:val="000D348F"/>
    <w:rsid w:val="000D4EDF"/>
    <w:rsid w:val="000D4F5B"/>
    <w:rsid w:val="000E10D4"/>
    <w:rsid w:val="000F648E"/>
    <w:rsid w:val="000F6675"/>
    <w:rsid w:val="00106B85"/>
    <w:rsid w:val="00106DA0"/>
    <w:rsid w:val="00112554"/>
    <w:rsid w:val="00131E5F"/>
    <w:rsid w:val="00136742"/>
    <w:rsid w:val="00151D22"/>
    <w:rsid w:val="00155ECD"/>
    <w:rsid w:val="00157AFC"/>
    <w:rsid w:val="00163947"/>
    <w:rsid w:val="0017154D"/>
    <w:rsid w:val="0018024B"/>
    <w:rsid w:val="00187CF6"/>
    <w:rsid w:val="0019216F"/>
    <w:rsid w:val="00195787"/>
    <w:rsid w:val="001B6E42"/>
    <w:rsid w:val="001B78E0"/>
    <w:rsid w:val="001C6D14"/>
    <w:rsid w:val="001D16E1"/>
    <w:rsid w:val="002147A2"/>
    <w:rsid w:val="002218EE"/>
    <w:rsid w:val="002276C9"/>
    <w:rsid w:val="00230123"/>
    <w:rsid w:val="00263136"/>
    <w:rsid w:val="00265269"/>
    <w:rsid w:val="00274429"/>
    <w:rsid w:val="002C55C1"/>
    <w:rsid w:val="002C5FD8"/>
    <w:rsid w:val="002C7318"/>
    <w:rsid w:val="002F2A89"/>
    <w:rsid w:val="003138B2"/>
    <w:rsid w:val="003213D0"/>
    <w:rsid w:val="003227C2"/>
    <w:rsid w:val="0032731E"/>
    <w:rsid w:val="00361C17"/>
    <w:rsid w:val="00362928"/>
    <w:rsid w:val="003733F0"/>
    <w:rsid w:val="003B3340"/>
    <w:rsid w:val="003B4731"/>
    <w:rsid w:val="003C47DD"/>
    <w:rsid w:val="003D1DF6"/>
    <w:rsid w:val="004111B0"/>
    <w:rsid w:val="004158D8"/>
    <w:rsid w:val="00422CE7"/>
    <w:rsid w:val="00427D63"/>
    <w:rsid w:val="00434AEB"/>
    <w:rsid w:val="00435848"/>
    <w:rsid w:val="00435BE8"/>
    <w:rsid w:val="00470422"/>
    <w:rsid w:val="004735F6"/>
    <w:rsid w:val="004B4F12"/>
    <w:rsid w:val="004D173B"/>
    <w:rsid w:val="004E05F8"/>
    <w:rsid w:val="004E7B1E"/>
    <w:rsid w:val="004F0920"/>
    <w:rsid w:val="004F776C"/>
    <w:rsid w:val="00502706"/>
    <w:rsid w:val="00540423"/>
    <w:rsid w:val="00544D2E"/>
    <w:rsid w:val="005611C7"/>
    <w:rsid w:val="00564452"/>
    <w:rsid w:val="005A5D5C"/>
    <w:rsid w:val="005C0040"/>
    <w:rsid w:val="005C032D"/>
    <w:rsid w:val="005F5C35"/>
    <w:rsid w:val="005F6034"/>
    <w:rsid w:val="00603886"/>
    <w:rsid w:val="00613E7A"/>
    <w:rsid w:val="00642C90"/>
    <w:rsid w:val="00651261"/>
    <w:rsid w:val="00660980"/>
    <w:rsid w:val="00660E39"/>
    <w:rsid w:val="006677BC"/>
    <w:rsid w:val="00675C46"/>
    <w:rsid w:val="0068120C"/>
    <w:rsid w:val="006961E4"/>
    <w:rsid w:val="006A47DD"/>
    <w:rsid w:val="006C20A4"/>
    <w:rsid w:val="006C2443"/>
    <w:rsid w:val="006C562C"/>
    <w:rsid w:val="00702EB9"/>
    <w:rsid w:val="0072310A"/>
    <w:rsid w:val="00762C42"/>
    <w:rsid w:val="00783C31"/>
    <w:rsid w:val="00785DC2"/>
    <w:rsid w:val="00795F3A"/>
    <w:rsid w:val="007B0799"/>
    <w:rsid w:val="007E03AB"/>
    <w:rsid w:val="007F193D"/>
    <w:rsid w:val="007F73EE"/>
    <w:rsid w:val="008221B9"/>
    <w:rsid w:val="008411F1"/>
    <w:rsid w:val="00852737"/>
    <w:rsid w:val="00865D2F"/>
    <w:rsid w:val="008767B7"/>
    <w:rsid w:val="00893F63"/>
    <w:rsid w:val="00897C4C"/>
    <w:rsid w:val="008A62F9"/>
    <w:rsid w:val="008A6438"/>
    <w:rsid w:val="008B439E"/>
    <w:rsid w:val="008B6B3D"/>
    <w:rsid w:val="008C0621"/>
    <w:rsid w:val="008D335B"/>
    <w:rsid w:val="008E34A0"/>
    <w:rsid w:val="009158F2"/>
    <w:rsid w:val="009211AA"/>
    <w:rsid w:val="009302A1"/>
    <w:rsid w:val="009334BE"/>
    <w:rsid w:val="00954C93"/>
    <w:rsid w:val="009846D7"/>
    <w:rsid w:val="009868E8"/>
    <w:rsid w:val="009A6D9E"/>
    <w:rsid w:val="009A7BD6"/>
    <w:rsid w:val="009B7866"/>
    <w:rsid w:val="009C35E3"/>
    <w:rsid w:val="009C4B2E"/>
    <w:rsid w:val="009D7460"/>
    <w:rsid w:val="00A062C1"/>
    <w:rsid w:val="00A118AF"/>
    <w:rsid w:val="00A31B76"/>
    <w:rsid w:val="00A41A93"/>
    <w:rsid w:val="00A57FAD"/>
    <w:rsid w:val="00A66978"/>
    <w:rsid w:val="00A854FF"/>
    <w:rsid w:val="00A85FB7"/>
    <w:rsid w:val="00AA22AC"/>
    <w:rsid w:val="00AA45DE"/>
    <w:rsid w:val="00AB65CE"/>
    <w:rsid w:val="00AB7D11"/>
    <w:rsid w:val="00AD1D9E"/>
    <w:rsid w:val="00AD7B7B"/>
    <w:rsid w:val="00AF44BA"/>
    <w:rsid w:val="00B378AA"/>
    <w:rsid w:val="00B54011"/>
    <w:rsid w:val="00B62F94"/>
    <w:rsid w:val="00BA29E7"/>
    <w:rsid w:val="00BB092C"/>
    <w:rsid w:val="00BB239D"/>
    <w:rsid w:val="00BC0CED"/>
    <w:rsid w:val="00BC21CC"/>
    <w:rsid w:val="00BC48B2"/>
    <w:rsid w:val="00BF24F7"/>
    <w:rsid w:val="00BF36E4"/>
    <w:rsid w:val="00C117F2"/>
    <w:rsid w:val="00C15F82"/>
    <w:rsid w:val="00C4522E"/>
    <w:rsid w:val="00C51C58"/>
    <w:rsid w:val="00C5394C"/>
    <w:rsid w:val="00C54CDC"/>
    <w:rsid w:val="00C63FF3"/>
    <w:rsid w:val="00C804AF"/>
    <w:rsid w:val="00C86008"/>
    <w:rsid w:val="00C875A2"/>
    <w:rsid w:val="00C91228"/>
    <w:rsid w:val="00CA0C3B"/>
    <w:rsid w:val="00CA2428"/>
    <w:rsid w:val="00CE2FDD"/>
    <w:rsid w:val="00CF2E26"/>
    <w:rsid w:val="00CF3C1E"/>
    <w:rsid w:val="00D16977"/>
    <w:rsid w:val="00D35F65"/>
    <w:rsid w:val="00D46B43"/>
    <w:rsid w:val="00D746CF"/>
    <w:rsid w:val="00D76298"/>
    <w:rsid w:val="00D90E69"/>
    <w:rsid w:val="00DA18B4"/>
    <w:rsid w:val="00DB37A1"/>
    <w:rsid w:val="00DF1A0E"/>
    <w:rsid w:val="00E02655"/>
    <w:rsid w:val="00E03E73"/>
    <w:rsid w:val="00E14F52"/>
    <w:rsid w:val="00E20012"/>
    <w:rsid w:val="00E22345"/>
    <w:rsid w:val="00E22D45"/>
    <w:rsid w:val="00E31E5F"/>
    <w:rsid w:val="00E37FD5"/>
    <w:rsid w:val="00E40E2F"/>
    <w:rsid w:val="00E52ADD"/>
    <w:rsid w:val="00E64BAB"/>
    <w:rsid w:val="00EA0053"/>
    <w:rsid w:val="00EA1B70"/>
    <w:rsid w:val="00EE01E7"/>
    <w:rsid w:val="00EF0330"/>
    <w:rsid w:val="00EF08F6"/>
    <w:rsid w:val="00F230F3"/>
    <w:rsid w:val="00F35B66"/>
    <w:rsid w:val="00F55B78"/>
    <w:rsid w:val="00F82968"/>
    <w:rsid w:val="00F87C7F"/>
    <w:rsid w:val="00F87E24"/>
    <w:rsid w:val="00FB12B6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0EFE"/>
  <w15:chartTrackingRefBased/>
  <w15:docId w15:val="{A2056326-C6AE-4532-87DC-231DF690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D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5D5C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5D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5D5C"/>
    <w:rPr>
      <w:kern w:val="2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F19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266ed-3207-46c6-a07d-f81477979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976B6E0FED40AE4595D2D415371E" ma:contentTypeVersion="18" ma:contentTypeDescription="Create a new document." ma:contentTypeScope="" ma:versionID="14af83f9de3fe56707aa9eb52f6ee670">
  <xsd:schema xmlns:xsd="http://www.w3.org/2001/XMLSchema" xmlns:xs="http://www.w3.org/2001/XMLSchema" xmlns:p="http://schemas.microsoft.com/office/2006/metadata/properties" xmlns:ns3="14a266ed-3207-46c6-a07d-f81477979f14" xmlns:ns4="9584949f-143b-4263-a10f-a8f1b74bb921" targetNamespace="http://schemas.microsoft.com/office/2006/metadata/properties" ma:root="true" ma:fieldsID="fb4e10a40f04a3a4a7a01a6e0fee42e2" ns3:_="" ns4:_="">
    <xsd:import namespace="14a266ed-3207-46c6-a07d-f81477979f14"/>
    <xsd:import namespace="9584949f-143b-4263-a10f-a8f1b74bb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66ed-3207-46c6-a07d-f81477979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4949f-143b-4263-a10f-a8f1b74bb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A26F3-D2AB-432E-A326-2BBE24173112}">
  <ds:schemaRefs>
    <ds:schemaRef ds:uri="http://schemas.microsoft.com/office/2006/metadata/properties"/>
    <ds:schemaRef ds:uri="http://schemas.microsoft.com/office/infopath/2007/PartnerControls"/>
    <ds:schemaRef ds:uri="14a266ed-3207-46c6-a07d-f81477979f14"/>
  </ds:schemaRefs>
</ds:datastoreItem>
</file>

<file path=customXml/itemProps2.xml><?xml version="1.0" encoding="utf-8"?>
<ds:datastoreItem xmlns:ds="http://schemas.openxmlformats.org/officeDocument/2006/customXml" ds:itemID="{20EE2287-E412-44B0-8F6B-CB966CB94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41049-D6F8-444E-AD65-841C7F4BB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66ed-3207-46c6-a07d-f81477979f14"/>
    <ds:schemaRef ds:uri="9584949f-143b-4263-a10f-a8f1b74bb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C7/24-25(ESA)</vt:lpstr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C7/24-25(ESA)</dc:title>
  <dc:subject/>
  <dc:creator>McKendry, David</dc:creator>
  <cp:keywords/>
  <dc:description/>
  <cp:lastModifiedBy>McKendry, David</cp:lastModifiedBy>
  <cp:revision>2</cp:revision>
  <dcterms:created xsi:type="dcterms:W3CDTF">2025-04-10T10:01:00Z</dcterms:created>
  <dcterms:modified xsi:type="dcterms:W3CDTF">2025-04-10T10:01:00Z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0x010100DF8B976B6E0FED40AE4595D2D415371E</vt:lpwstr>
  </property>
</Properties>
</file>