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A6" w:rsidRPr="00126113" w:rsidRDefault="009D072D" w:rsidP="00DA09E6">
      <w:pPr>
        <w:spacing w:after="0"/>
        <w:jc w:val="right"/>
        <w:rPr>
          <w:rFonts w:ascii="Arial" w:hAnsi="Arial" w:cs="Arial"/>
          <w:sz w:val="24"/>
          <w:szCs w:val="24"/>
          <w:lang w:val="en-US"/>
        </w:rPr>
      </w:pPr>
      <w:r w:rsidRPr="00126113">
        <w:rPr>
          <w:rFonts w:ascii="Arial" w:hAnsi="Arial" w:cs="Arial"/>
          <w:sz w:val="24"/>
          <w:szCs w:val="24"/>
          <w:lang w:val="en-US"/>
        </w:rPr>
        <w:t>RMcE-v-Department for Communities (UC) [2021] NICom 59</w:t>
      </w:r>
    </w:p>
    <w:p w:rsidR="009D072D" w:rsidRPr="00126113" w:rsidRDefault="009D072D" w:rsidP="00DA09E6">
      <w:pPr>
        <w:spacing w:after="0"/>
        <w:jc w:val="right"/>
        <w:rPr>
          <w:rFonts w:ascii="Arial" w:hAnsi="Arial" w:cs="Arial"/>
          <w:sz w:val="24"/>
          <w:szCs w:val="24"/>
          <w:lang w:val="en-US"/>
        </w:rPr>
      </w:pPr>
    </w:p>
    <w:p w:rsidR="009D072D" w:rsidRPr="00126113" w:rsidRDefault="009D072D" w:rsidP="00DA09E6">
      <w:pPr>
        <w:spacing w:after="0"/>
        <w:jc w:val="right"/>
        <w:rPr>
          <w:rFonts w:ascii="Arial" w:hAnsi="Arial" w:cs="Arial"/>
          <w:sz w:val="24"/>
          <w:szCs w:val="24"/>
          <w:lang w:val="en-US"/>
        </w:rPr>
      </w:pPr>
      <w:bookmarkStart w:id="0" w:name="_GoBack"/>
      <w:bookmarkEnd w:id="0"/>
      <w:r w:rsidRPr="00126113">
        <w:rPr>
          <w:rFonts w:ascii="Arial" w:hAnsi="Arial" w:cs="Arial"/>
          <w:sz w:val="24"/>
          <w:szCs w:val="24"/>
          <w:lang w:val="en-US"/>
        </w:rPr>
        <w:t xml:space="preserve">Decision No: </w:t>
      </w:r>
      <w:r w:rsidR="00126113">
        <w:rPr>
          <w:rFonts w:ascii="Arial" w:hAnsi="Arial" w:cs="Arial"/>
          <w:sz w:val="24"/>
          <w:szCs w:val="24"/>
          <w:lang w:val="en-US"/>
        </w:rPr>
        <w:t xml:space="preserve"> </w:t>
      </w:r>
      <w:r w:rsidRPr="00126113">
        <w:rPr>
          <w:rFonts w:ascii="Arial" w:hAnsi="Arial" w:cs="Arial"/>
          <w:sz w:val="24"/>
          <w:szCs w:val="24"/>
          <w:lang w:val="en-US"/>
        </w:rPr>
        <w:t>C3/21-22(UC)</w:t>
      </w:r>
    </w:p>
    <w:p w:rsidR="009D072D" w:rsidRDefault="009D072D" w:rsidP="00DA09E6">
      <w:pPr>
        <w:spacing w:after="0"/>
        <w:rPr>
          <w:rFonts w:ascii="Arial" w:hAnsi="Arial" w:cs="Arial"/>
          <w:sz w:val="24"/>
          <w:szCs w:val="24"/>
          <w:lang w:val="en-US"/>
        </w:rPr>
      </w:pPr>
    </w:p>
    <w:p w:rsidR="00623649" w:rsidRPr="00126113" w:rsidRDefault="00623649" w:rsidP="00DA09E6">
      <w:pPr>
        <w:spacing w:after="0"/>
        <w:rPr>
          <w:rFonts w:ascii="Arial" w:hAnsi="Arial" w:cs="Arial"/>
          <w:sz w:val="24"/>
          <w:szCs w:val="24"/>
          <w:lang w:val="en-US"/>
        </w:rPr>
      </w:pPr>
    </w:p>
    <w:p w:rsidR="009D072D" w:rsidRPr="00126113" w:rsidRDefault="009D072D" w:rsidP="00DA09E6">
      <w:pPr>
        <w:spacing w:after="0"/>
        <w:rPr>
          <w:rFonts w:ascii="Arial" w:hAnsi="Arial" w:cs="Arial"/>
          <w:sz w:val="24"/>
          <w:szCs w:val="24"/>
          <w:lang w:val="en-US"/>
        </w:rPr>
      </w:pPr>
    </w:p>
    <w:p w:rsidR="009D072D" w:rsidRPr="00126113" w:rsidRDefault="009D072D" w:rsidP="00DA09E6">
      <w:pPr>
        <w:spacing w:after="0"/>
        <w:rPr>
          <w:rFonts w:ascii="Arial" w:hAnsi="Arial" w:cs="Arial"/>
          <w:sz w:val="24"/>
          <w:szCs w:val="24"/>
          <w:lang w:val="en-US"/>
        </w:rPr>
      </w:pPr>
    </w:p>
    <w:p w:rsidR="009D072D" w:rsidRPr="00126113" w:rsidRDefault="009D072D" w:rsidP="00DA09E6">
      <w:pPr>
        <w:spacing w:after="0" w:line="240" w:lineRule="atLeast"/>
        <w:jc w:val="center"/>
        <w:rPr>
          <w:rFonts w:ascii="Arial" w:hAnsi="Arial" w:cs="Arial"/>
          <w:b/>
          <w:bCs/>
          <w:spacing w:val="-3"/>
          <w:sz w:val="24"/>
          <w:szCs w:val="24"/>
        </w:rPr>
      </w:pPr>
      <w:r w:rsidRPr="00126113">
        <w:rPr>
          <w:rFonts w:ascii="Arial" w:hAnsi="Arial" w:cs="Arial"/>
          <w:b/>
          <w:bCs/>
          <w:spacing w:val="-3"/>
          <w:sz w:val="24"/>
          <w:szCs w:val="24"/>
        </w:rPr>
        <w:t>SOCIAL SECURITY ADMINISTRATION (NORTHERN IRELAND) ACT 1992</w:t>
      </w:r>
    </w:p>
    <w:p w:rsidR="009D072D" w:rsidRPr="00126113" w:rsidRDefault="009D072D" w:rsidP="00DA09E6">
      <w:pPr>
        <w:spacing w:after="0" w:line="240" w:lineRule="atLeast"/>
        <w:jc w:val="center"/>
        <w:rPr>
          <w:rFonts w:ascii="Arial" w:hAnsi="Arial" w:cs="Arial"/>
          <w:b/>
          <w:bCs/>
          <w:spacing w:val="-3"/>
          <w:sz w:val="24"/>
          <w:szCs w:val="24"/>
        </w:rPr>
      </w:pPr>
    </w:p>
    <w:p w:rsidR="009D072D" w:rsidRPr="00126113" w:rsidRDefault="009D072D" w:rsidP="00DA09E6">
      <w:pPr>
        <w:spacing w:after="0" w:line="240" w:lineRule="atLeast"/>
        <w:jc w:val="center"/>
        <w:rPr>
          <w:rFonts w:ascii="Arial" w:hAnsi="Arial" w:cs="Arial"/>
          <w:b/>
          <w:bCs/>
          <w:spacing w:val="-3"/>
          <w:sz w:val="24"/>
          <w:szCs w:val="24"/>
        </w:rPr>
      </w:pPr>
      <w:r w:rsidRPr="00126113">
        <w:rPr>
          <w:rFonts w:ascii="Arial" w:hAnsi="Arial" w:cs="Arial"/>
          <w:b/>
          <w:bCs/>
          <w:spacing w:val="-3"/>
          <w:sz w:val="24"/>
          <w:szCs w:val="24"/>
        </w:rPr>
        <w:t>SOCIAL SECURITY (NORTHERN IRELAND) ORDER 1998</w:t>
      </w:r>
    </w:p>
    <w:p w:rsidR="009D072D" w:rsidRPr="00126113" w:rsidRDefault="009D072D" w:rsidP="00DA09E6">
      <w:pPr>
        <w:spacing w:after="0" w:line="240" w:lineRule="atLeast"/>
        <w:jc w:val="center"/>
        <w:rPr>
          <w:rFonts w:ascii="Arial" w:hAnsi="Arial" w:cs="Arial"/>
          <w:b/>
          <w:bCs/>
          <w:spacing w:val="-3"/>
          <w:sz w:val="24"/>
          <w:szCs w:val="24"/>
        </w:rPr>
      </w:pPr>
    </w:p>
    <w:p w:rsidR="009D072D" w:rsidRPr="00126113" w:rsidRDefault="009D072D" w:rsidP="00DA09E6">
      <w:pPr>
        <w:spacing w:after="0" w:line="240" w:lineRule="atLeast"/>
        <w:jc w:val="center"/>
        <w:rPr>
          <w:rFonts w:ascii="Arial" w:hAnsi="Arial" w:cs="Arial"/>
          <w:b/>
          <w:bCs/>
          <w:spacing w:val="-3"/>
          <w:sz w:val="24"/>
          <w:szCs w:val="24"/>
        </w:rPr>
      </w:pPr>
    </w:p>
    <w:p w:rsidR="009D072D" w:rsidRPr="00126113" w:rsidRDefault="009D072D" w:rsidP="00DA09E6">
      <w:pPr>
        <w:tabs>
          <w:tab w:val="center" w:pos="4513"/>
        </w:tabs>
        <w:spacing w:after="0" w:line="240" w:lineRule="atLeast"/>
        <w:jc w:val="center"/>
        <w:rPr>
          <w:rFonts w:ascii="Arial" w:hAnsi="Arial" w:cs="Arial"/>
          <w:spacing w:val="-3"/>
          <w:sz w:val="24"/>
          <w:szCs w:val="24"/>
          <w:u w:val="single"/>
        </w:rPr>
      </w:pPr>
      <w:r w:rsidRPr="00126113">
        <w:rPr>
          <w:rFonts w:ascii="Arial" w:hAnsi="Arial" w:cs="Arial"/>
          <w:b/>
          <w:bCs/>
          <w:spacing w:val="-3"/>
          <w:sz w:val="24"/>
          <w:szCs w:val="24"/>
          <w:u w:val="single"/>
        </w:rPr>
        <w:t>UNIVERSAL CREDIT</w:t>
      </w:r>
    </w:p>
    <w:p w:rsidR="009D072D" w:rsidRPr="00126113" w:rsidRDefault="009D072D" w:rsidP="00DA09E6">
      <w:pPr>
        <w:tabs>
          <w:tab w:val="left" w:pos="-720"/>
        </w:tabs>
        <w:spacing w:after="0" w:line="240" w:lineRule="atLeast"/>
        <w:jc w:val="center"/>
        <w:rPr>
          <w:rFonts w:ascii="Arial" w:hAnsi="Arial" w:cs="Arial"/>
          <w:spacing w:val="-3"/>
          <w:sz w:val="24"/>
          <w:szCs w:val="24"/>
        </w:rPr>
      </w:pPr>
    </w:p>
    <w:p w:rsidR="009D072D" w:rsidRPr="00126113" w:rsidRDefault="009D072D" w:rsidP="00DA09E6">
      <w:pPr>
        <w:tabs>
          <w:tab w:val="left" w:pos="-720"/>
        </w:tabs>
        <w:spacing w:after="0" w:line="240" w:lineRule="atLeast"/>
        <w:jc w:val="center"/>
        <w:rPr>
          <w:rFonts w:ascii="Arial" w:hAnsi="Arial" w:cs="Arial"/>
          <w:spacing w:val="-3"/>
          <w:sz w:val="24"/>
          <w:szCs w:val="24"/>
        </w:rPr>
      </w:pPr>
    </w:p>
    <w:p w:rsidR="009D072D" w:rsidRPr="00126113" w:rsidRDefault="009D072D" w:rsidP="00DA09E6">
      <w:pPr>
        <w:tabs>
          <w:tab w:val="center" w:pos="4513"/>
        </w:tabs>
        <w:spacing w:after="0" w:line="240" w:lineRule="atLeast"/>
        <w:jc w:val="center"/>
        <w:rPr>
          <w:rFonts w:ascii="Arial" w:hAnsi="Arial" w:cs="Arial"/>
          <w:spacing w:val="-3"/>
          <w:sz w:val="24"/>
          <w:szCs w:val="24"/>
        </w:rPr>
      </w:pPr>
      <w:r w:rsidRPr="00126113">
        <w:rPr>
          <w:rFonts w:ascii="Arial" w:hAnsi="Arial" w:cs="Arial"/>
          <w:spacing w:val="-3"/>
          <w:sz w:val="24"/>
          <w:szCs w:val="24"/>
        </w:rPr>
        <w:t>Application by the claimant for leave to appeal</w:t>
      </w:r>
    </w:p>
    <w:p w:rsidR="009D072D" w:rsidRPr="00126113" w:rsidRDefault="009D072D" w:rsidP="00DA09E6">
      <w:pPr>
        <w:tabs>
          <w:tab w:val="center" w:pos="4513"/>
        </w:tabs>
        <w:spacing w:after="0" w:line="240" w:lineRule="atLeast"/>
        <w:jc w:val="center"/>
        <w:rPr>
          <w:rFonts w:ascii="Arial" w:hAnsi="Arial" w:cs="Arial"/>
          <w:spacing w:val="-3"/>
          <w:sz w:val="24"/>
          <w:szCs w:val="24"/>
        </w:rPr>
      </w:pPr>
      <w:r w:rsidRPr="00126113">
        <w:rPr>
          <w:rFonts w:ascii="Arial" w:hAnsi="Arial" w:cs="Arial"/>
          <w:spacing w:val="-3"/>
          <w:sz w:val="24"/>
          <w:szCs w:val="24"/>
        </w:rPr>
        <w:t>and appeal to a Social Security Commissioner</w:t>
      </w:r>
    </w:p>
    <w:p w:rsidR="009D072D" w:rsidRPr="00126113" w:rsidRDefault="009D072D" w:rsidP="00DA09E6">
      <w:pPr>
        <w:tabs>
          <w:tab w:val="center" w:pos="4513"/>
        </w:tabs>
        <w:spacing w:after="0" w:line="240" w:lineRule="atLeast"/>
        <w:jc w:val="center"/>
        <w:rPr>
          <w:rFonts w:ascii="Arial" w:hAnsi="Arial" w:cs="Arial"/>
          <w:spacing w:val="-3"/>
          <w:sz w:val="24"/>
          <w:szCs w:val="24"/>
        </w:rPr>
      </w:pPr>
      <w:r w:rsidRPr="00126113">
        <w:rPr>
          <w:rFonts w:ascii="Arial" w:hAnsi="Arial" w:cs="Arial"/>
          <w:spacing w:val="-3"/>
          <w:sz w:val="24"/>
          <w:szCs w:val="24"/>
        </w:rPr>
        <w:t>on a question of law from a Tribunal’s decision</w:t>
      </w:r>
    </w:p>
    <w:p w:rsidR="009D072D" w:rsidRPr="00126113" w:rsidRDefault="009D072D" w:rsidP="00DA09E6">
      <w:pPr>
        <w:tabs>
          <w:tab w:val="center" w:pos="4513"/>
        </w:tabs>
        <w:spacing w:after="0" w:line="240" w:lineRule="atLeast"/>
        <w:jc w:val="center"/>
        <w:rPr>
          <w:rFonts w:ascii="Arial" w:hAnsi="Arial" w:cs="Arial"/>
          <w:spacing w:val="-3"/>
          <w:sz w:val="24"/>
          <w:szCs w:val="24"/>
        </w:rPr>
      </w:pPr>
      <w:r w:rsidRPr="00126113">
        <w:rPr>
          <w:rFonts w:ascii="Arial" w:hAnsi="Arial" w:cs="Arial"/>
          <w:spacing w:val="-3"/>
          <w:sz w:val="24"/>
          <w:szCs w:val="24"/>
        </w:rPr>
        <w:t>dated 26 January 2021</w:t>
      </w:r>
    </w:p>
    <w:p w:rsidR="009D072D" w:rsidRPr="00126113" w:rsidRDefault="009D072D" w:rsidP="00DA09E6">
      <w:pPr>
        <w:tabs>
          <w:tab w:val="left" w:pos="-720"/>
        </w:tabs>
        <w:spacing w:after="0" w:line="240" w:lineRule="atLeast"/>
        <w:jc w:val="center"/>
        <w:rPr>
          <w:rFonts w:ascii="Arial" w:hAnsi="Arial" w:cs="Arial"/>
          <w:spacing w:val="-3"/>
          <w:sz w:val="24"/>
          <w:szCs w:val="24"/>
        </w:rPr>
      </w:pPr>
    </w:p>
    <w:p w:rsidR="009D072D" w:rsidRPr="00126113" w:rsidRDefault="009D072D" w:rsidP="00DA09E6">
      <w:pPr>
        <w:tabs>
          <w:tab w:val="left" w:pos="-720"/>
        </w:tabs>
        <w:spacing w:after="0" w:line="240" w:lineRule="atLeast"/>
        <w:jc w:val="center"/>
        <w:rPr>
          <w:rFonts w:ascii="Arial" w:hAnsi="Arial" w:cs="Arial"/>
          <w:spacing w:val="-3"/>
          <w:sz w:val="24"/>
          <w:szCs w:val="24"/>
        </w:rPr>
      </w:pPr>
    </w:p>
    <w:p w:rsidR="009D072D" w:rsidRPr="00126113" w:rsidRDefault="009D072D" w:rsidP="00DA09E6">
      <w:pPr>
        <w:tabs>
          <w:tab w:val="center" w:pos="4513"/>
        </w:tabs>
        <w:spacing w:after="0" w:line="240" w:lineRule="atLeast"/>
        <w:jc w:val="center"/>
        <w:rPr>
          <w:rFonts w:ascii="Arial" w:hAnsi="Arial" w:cs="Arial"/>
          <w:spacing w:val="-3"/>
          <w:sz w:val="24"/>
          <w:szCs w:val="24"/>
        </w:rPr>
      </w:pPr>
      <w:r w:rsidRPr="00126113">
        <w:rPr>
          <w:rFonts w:ascii="Arial" w:hAnsi="Arial" w:cs="Arial"/>
          <w:spacing w:val="-3"/>
          <w:sz w:val="24"/>
          <w:szCs w:val="24"/>
          <w:u w:val="single"/>
        </w:rPr>
        <w:t>DECISION OF THE SOCIAL SECURITY COMMISSIONER</w:t>
      </w:r>
    </w:p>
    <w:p w:rsidR="009D072D" w:rsidRDefault="009D072D" w:rsidP="00DA09E6">
      <w:pPr>
        <w:spacing w:after="0"/>
        <w:rPr>
          <w:rFonts w:ascii="Arial" w:hAnsi="Arial" w:cs="Arial"/>
          <w:sz w:val="24"/>
          <w:szCs w:val="24"/>
          <w:lang w:val="en-US"/>
        </w:rPr>
      </w:pPr>
    </w:p>
    <w:p w:rsidR="00126113" w:rsidRPr="00126113" w:rsidRDefault="00126113" w:rsidP="00DA09E6">
      <w:pPr>
        <w:spacing w:after="0"/>
        <w:rPr>
          <w:rFonts w:ascii="Arial" w:hAnsi="Arial" w:cs="Arial"/>
          <w:sz w:val="24"/>
          <w:szCs w:val="24"/>
          <w:lang w:val="en-US"/>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w:t>
      </w:r>
      <w:r w:rsidRPr="00126113">
        <w:rPr>
          <w:rFonts w:ascii="Arial" w:hAnsi="Arial" w:cs="Arial"/>
          <w:sz w:val="24"/>
          <w:szCs w:val="24"/>
        </w:rPr>
        <w:tab/>
        <w:t>This is an application by the claimant for leave to appeal from the decision of a tribunal with reference ST/0</w:t>
      </w:r>
      <w:r w:rsidR="00B72166">
        <w:rPr>
          <w:rFonts w:ascii="Arial" w:hAnsi="Arial" w:cs="Arial"/>
          <w:sz w:val="24"/>
          <w:szCs w:val="24"/>
        </w:rPr>
        <w:t>3865/19/05/O.</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w:t>
      </w:r>
      <w:r w:rsidRPr="00126113">
        <w:rPr>
          <w:rFonts w:ascii="Arial" w:hAnsi="Arial" w:cs="Arial"/>
          <w:sz w:val="24"/>
          <w:szCs w:val="24"/>
        </w:rPr>
        <w:tab/>
        <w:t xml:space="preserve">For the reasons I give below, I grant leave to appeal. </w:t>
      </w:r>
      <w:r w:rsidR="00B72166">
        <w:rPr>
          <w:rFonts w:ascii="Arial" w:hAnsi="Arial" w:cs="Arial"/>
          <w:sz w:val="24"/>
          <w:szCs w:val="24"/>
        </w:rPr>
        <w:t xml:space="preserve"> However, I dismiss the appeal.</w:t>
      </w:r>
    </w:p>
    <w:p w:rsidR="009D072D" w:rsidRPr="00126113" w:rsidRDefault="009D072D" w:rsidP="00DA09E6">
      <w:pPr>
        <w:tabs>
          <w:tab w:val="left" w:pos="510"/>
          <w:tab w:val="left" w:pos="1077"/>
          <w:tab w:val="left" w:pos="1797"/>
        </w:tabs>
        <w:spacing w:after="0" w:line="240" w:lineRule="auto"/>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jc w:val="center"/>
        <w:rPr>
          <w:rFonts w:ascii="Arial" w:hAnsi="Arial" w:cs="Arial"/>
          <w:b/>
          <w:sz w:val="24"/>
          <w:szCs w:val="24"/>
          <w:u w:val="single"/>
        </w:rPr>
      </w:pPr>
      <w:r w:rsidRPr="00126113">
        <w:rPr>
          <w:rFonts w:ascii="Arial" w:hAnsi="Arial" w:cs="Arial"/>
          <w:b/>
          <w:sz w:val="24"/>
          <w:szCs w:val="24"/>
          <w:u w:val="single"/>
        </w:rPr>
        <w:t>REASONS</w:t>
      </w:r>
    </w:p>
    <w:p w:rsidR="009D072D" w:rsidRPr="00126113" w:rsidRDefault="009D072D" w:rsidP="00DA09E6">
      <w:pPr>
        <w:tabs>
          <w:tab w:val="left" w:pos="510"/>
          <w:tab w:val="left" w:pos="1077"/>
          <w:tab w:val="left" w:pos="1797"/>
        </w:tabs>
        <w:spacing w:after="0" w:line="240" w:lineRule="auto"/>
        <w:rPr>
          <w:rFonts w:ascii="Arial" w:hAnsi="Arial" w:cs="Arial"/>
          <w:sz w:val="24"/>
          <w:szCs w:val="24"/>
        </w:rPr>
      </w:pPr>
    </w:p>
    <w:p w:rsidR="009D072D" w:rsidRPr="00126113" w:rsidRDefault="00B72166" w:rsidP="00DA09E6">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9D072D" w:rsidRPr="00126113">
        <w:rPr>
          <w:rFonts w:ascii="Arial" w:hAnsi="Arial" w:cs="Arial"/>
          <w:b/>
          <w:sz w:val="24"/>
          <w:szCs w:val="24"/>
        </w:rPr>
        <w:t>Background</w:t>
      </w:r>
    </w:p>
    <w:p w:rsidR="009D072D" w:rsidRPr="00126113" w:rsidRDefault="009D072D" w:rsidP="00DA09E6">
      <w:pPr>
        <w:tabs>
          <w:tab w:val="left" w:pos="510"/>
          <w:tab w:val="left" w:pos="1077"/>
          <w:tab w:val="left" w:pos="1797"/>
        </w:tabs>
        <w:spacing w:after="0" w:line="240" w:lineRule="auto"/>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3.</w:t>
      </w:r>
      <w:r w:rsidRPr="00126113">
        <w:rPr>
          <w:rFonts w:ascii="Arial" w:hAnsi="Arial" w:cs="Arial"/>
          <w:sz w:val="24"/>
          <w:szCs w:val="24"/>
        </w:rPr>
        <w:tab/>
        <w:t>The issue in this case is whether tribunal was correct to hold that a payment of pay in lieu of notice, made after the termination of the appellant’s employment, fell to be treated as employed earnings.</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4.</w:t>
      </w:r>
      <w:r w:rsidRPr="00126113">
        <w:rPr>
          <w:rFonts w:ascii="Arial" w:hAnsi="Arial" w:cs="Arial"/>
          <w:sz w:val="24"/>
          <w:szCs w:val="24"/>
        </w:rPr>
        <w:tab/>
        <w:t xml:space="preserve">The appellant made a claim for universal credit (UC) to the Department for Communities (the Department) on 19 February 2018. </w:t>
      </w:r>
      <w:r w:rsidR="00B72166">
        <w:rPr>
          <w:rFonts w:ascii="Arial" w:hAnsi="Arial" w:cs="Arial"/>
          <w:sz w:val="24"/>
          <w:szCs w:val="24"/>
        </w:rPr>
        <w:t xml:space="preserve"> </w:t>
      </w:r>
      <w:r w:rsidRPr="00126113">
        <w:rPr>
          <w:rFonts w:ascii="Arial" w:hAnsi="Arial" w:cs="Arial"/>
          <w:sz w:val="24"/>
          <w:szCs w:val="24"/>
        </w:rPr>
        <w:t xml:space="preserve">On 25 March 2018 the Department decided that he was entitled to UC amounting to £0.00 as his earnings exceeded his entitlement to UC. </w:t>
      </w:r>
      <w:r w:rsidR="00B72166">
        <w:rPr>
          <w:rFonts w:ascii="Arial" w:hAnsi="Arial" w:cs="Arial"/>
          <w:sz w:val="24"/>
          <w:szCs w:val="24"/>
        </w:rPr>
        <w:t xml:space="preserve"> </w:t>
      </w:r>
      <w:r w:rsidRPr="00126113">
        <w:rPr>
          <w:rFonts w:ascii="Arial" w:hAnsi="Arial" w:cs="Arial"/>
          <w:sz w:val="24"/>
          <w:szCs w:val="24"/>
        </w:rPr>
        <w:t xml:space="preserve">This was on the basis that he had received earnings of £475.49 in the assessment period from 19 February 2018 to 18 March 2018. </w:t>
      </w:r>
      <w:r w:rsidR="00B72166">
        <w:rPr>
          <w:rFonts w:ascii="Arial" w:hAnsi="Arial" w:cs="Arial"/>
          <w:sz w:val="24"/>
          <w:szCs w:val="24"/>
        </w:rPr>
        <w:t xml:space="preserve"> </w:t>
      </w:r>
      <w:r w:rsidRPr="00126113">
        <w:rPr>
          <w:rFonts w:ascii="Arial" w:hAnsi="Arial" w:cs="Arial"/>
          <w:sz w:val="24"/>
          <w:szCs w:val="24"/>
        </w:rPr>
        <w:t xml:space="preserve">The appellant requested a reconsideration. </w:t>
      </w:r>
      <w:r w:rsidR="00B72166">
        <w:rPr>
          <w:rFonts w:ascii="Arial" w:hAnsi="Arial" w:cs="Arial"/>
          <w:sz w:val="24"/>
          <w:szCs w:val="24"/>
        </w:rPr>
        <w:t xml:space="preserve"> </w:t>
      </w:r>
      <w:r w:rsidRPr="00126113">
        <w:rPr>
          <w:rFonts w:ascii="Arial" w:hAnsi="Arial" w:cs="Arial"/>
          <w:sz w:val="24"/>
          <w:szCs w:val="24"/>
        </w:rPr>
        <w:t xml:space="preserve">On 29 March 2018 the decision was reconsidered by the Department but not revised. </w:t>
      </w:r>
      <w:r w:rsidR="00B72166">
        <w:rPr>
          <w:rFonts w:ascii="Arial" w:hAnsi="Arial" w:cs="Arial"/>
          <w:sz w:val="24"/>
          <w:szCs w:val="24"/>
        </w:rPr>
        <w:t xml:space="preserve"> </w:t>
      </w:r>
      <w:r w:rsidRPr="00126113">
        <w:rPr>
          <w:rFonts w:ascii="Arial" w:hAnsi="Arial" w:cs="Arial"/>
          <w:sz w:val="24"/>
          <w:szCs w:val="24"/>
        </w:rPr>
        <w:t xml:space="preserve">The respondent appealed. </w:t>
      </w:r>
      <w:r w:rsidR="00B72166">
        <w:rPr>
          <w:rFonts w:ascii="Arial" w:hAnsi="Arial" w:cs="Arial"/>
          <w:sz w:val="24"/>
          <w:szCs w:val="24"/>
        </w:rPr>
        <w:t xml:space="preserve"> </w:t>
      </w:r>
      <w:r w:rsidRPr="00126113">
        <w:rPr>
          <w:rFonts w:ascii="Arial" w:hAnsi="Arial" w:cs="Arial"/>
          <w:sz w:val="24"/>
          <w:szCs w:val="24"/>
        </w:rPr>
        <w:t xml:space="preserve">The appeal was considered by a tribunal consisting of a legally qualified member (LQM) sitting alone. </w:t>
      </w:r>
      <w:r w:rsidR="00B72166">
        <w:rPr>
          <w:rFonts w:ascii="Arial" w:hAnsi="Arial" w:cs="Arial"/>
          <w:sz w:val="24"/>
          <w:szCs w:val="24"/>
        </w:rPr>
        <w:t xml:space="preserve"> </w:t>
      </w:r>
      <w:r w:rsidRPr="00126113">
        <w:rPr>
          <w:rFonts w:ascii="Arial" w:hAnsi="Arial" w:cs="Arial"/>
          <w:sz w:val="24"/>
          <w:szCs w:val="24"/>
        </w:rPr>
        <w:t>The tribunal disa</w:t>
      </w:r>
      <w:r w:rsidR="00B72166">
        <w:rPr>
          <w:rFonts w:ascii="Arial" w:hAnsi="Arial" w:cs="Arial"/>
          <w:sz w:val="24"/>
          <w:szCs w:val="24"/>
        </w:rPr>
        <w:t>llowed the respondent’s appeal.</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lastRenderedPageBreak/>
        <w:t>5.</w:t>
      </w:r>
      <w:r w:rsidRPr="00126113">
        <w:rPr>
          <w:rFonts w:ascii="Arial" w:hAnsi="Arial" w:cs="Arial"/>
          <w:sz w:val="24"/>
          <w:szCs w:val="24"/>
        </w:rPr>
        <w:tab/>
        <w:t xml:space="preserve">The appellant requested a statement of reasons for the tribunal’s decision and this was issued on 27 April 2021. </w:t>
      </w:r>
      <w:r w:rsidR="00B72166">
        <w:rPr>
          <w:rFonts w:ascii="Arial" w:hAnsi="Arial" w:cs="Arial"/>
          <w:sz w:val="24"/>
          <w:szCs w:val="24"/>
        </w:rPr>
        <w:t xml:space="preserve"> </w:t>
      </w:r>
      <w:r w:rsidRPr="00126113">
        <w:rPr>
          <w:rFonts w:ascii="Arial" w:hAnsi="Arial" w:cs="Arial"/>
          <w:sz w:val="24"/>
          <w:szCs w:val="24"/>
        </w:rPr>
        <w:t xml:space="preserve">On 25 May 2021 the appellant applied to the tribunal for leave to appeal to the Social Security Commissioner. </w:t>
      </w:r>
      <w:r w:rsidR="00B72166">
        <w:rPr>
          <w:rFonts w:ascii="Arial" w:hAnsi="Arial" w:cs="Arial"/>
          <w:sz w:val="24"/>
          <w:szCs w:val="24"/>
        </w:rPr>
        <w:t xml:space="preserve"> </w:t>
      </w:r>
      <w:r w:rsidRPr="00126113">
        <w:rPr>
          <w:rFonts w:ascii="Arial" w:hAnsi="Arial" w:cs="Arial"/>
          <w:sz w:val="24"/>
          <w:szCs w:val="24"/>
        </w:rPr>
        <w:t>The LQM refused leave to appeal by a decision issued on 28 June 2021.</w:t>
      </w:r>
      <w:r w:rsidR="00B72166">
        <w:rPr>
          <w:rFonts w:ascii="Arial" w:hAnsi="Arial" w:cs="Arial"/>
          <w:sz w:val="24"/>
          <w:szCs w:val="24"/>
        </w:rPr>
        <w:t xml:space="preserve"> </w:t>
      </w:r>
      <w:r w:rsidRPr="00126113">
        <w:rPr>
          <w:rFonts w:ascii="Arial" w:hAnsi="Arial" w:cs="Arial"/>
          <w:sz w:val="24"/>
          <w:szCs w:val="24"/>
        </w:rPr>
        <w:t xml:space="preserve"> On 1 July 2021 the appellant applied to a Social Security Commissioner for leave to appeal.</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B72166" w:rsidP="00DA09E6">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9D072D" w:rsidRPr="00126113">
        <w:rPr>
          <w:rFonts w:ascii="Arial" w:hAnsi="Arial" w:cs="Arial"/>
          <w:b/>
          <w:sz w:val="24"/>
          <w:szCs w:val="24"/>
        </w:rPr>
        <w:t>Grounds</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6.</w:t>
      </w:r>
      <w:r w:rsidRPr="00126113">
        <w:rPr>
          <w:rFonts w:ascii="Arial" w:hAnsi="Arial" w:cs="Arial"/>
          <w:sz w:val="24"/>
          <w:szCs w:val="24"/>
        </w:rPr>
        <w:tab/>
        <w:t xml:space="preserve">The appellant, represented by Mr MacManus of Quigley MacManus (Solicitors), submits that the tribunal has erred in law on the basis that the payments received by the appellant should not have been taken into account as they were termination of employment payments, and that they were attributable to a different period than the assessment period. </w:t>
      </w:r>
      <w:r w:rsidR="00B72166">
        <w:rPr>
          <w:rFonts w:ascii="Arial" w:hAnsi="Arial" w:cs="Arial"/>
          <w:sz w:val="24"/>
          <w:szCs w:val="24"/>
        </w:rPr>
        <w:t xml:space="preserve"> </w:t>
      </w:r>
      <w:r w:rsidRPr="00126113">
        <w:rPr>
          <w:rFonts w:ascii="Arial" w:hAnsi="Arial" w:cs="Arial"/>
          <w:sz w:val="24"/>
          <w:szCs w:val="24"/>
        </w:rPr>
        <w:t>He further submitted that the tribunal had misconstrued the relevant law as demonstrated by comments distinguishing be</w:t>
      </w:r>
      <w:r w:rsidR="00B72166">
        <w:rPr>
          <w:rFonts w:ascii="Arial" w:hAnsi="Arial" w:cs="Arial"/>
          <w:sz w:val="24"/>
          <w:szCs w:val="24"/>
        </w:rPr>
        <w:t>tween dismissal and redundancy.</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7.</w:t>
      </w:r>
      <w:r w:rsidRPr="00126113">
        <w:rPr>
          <w:rFonts w:ascii="Arial" w:hAnsi="Arial" w:cs="Arial"/>
          <w:sz w:val="24"/>
          <w:szCs w:val="24"/>
        </w:rPr>
        <w:tab/>
        <w:t xml:space="preserve">The Department was invited to make observations on the application. Observations were received from Mr Finnerty of Decision Making Services on behalf of the Department. </w:t>
      </w:r>
      <w:r w:rsidR="00B72166">
        <w:rPr>
          <w:rFonts w:ascii="Arial" w:hAnsi="Arial" w:cs="Arial"/>
          <w:sz w:val="24"/>
          <w:szCs w:val="24"/>
        </w:rPr>
        <w:t xml:space="preserve"> </w:t>
      </w:r>
      <w:r w:rsidRPr="00126113">
        <w:rPr>
          <w:rFonts w:ascii="Arial" w:hAnsi="Arial" w:cs="Arial"/>
          <w:sz w:val="24"/>
          <w:szCs w:val="24"/>
        </w:rPr>
        <w:t>He submitted that the tribunal had not erred in law and indicated that the Department did not support the application.</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B72166" w:rsidP="00DA09E6">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9D072D" w:rsidRPr="00126113">
        <w:rPr>
          <w:rFonts w:ascii="Arial" w:hAnsi="Arial" w:cs="Arial"/>
          <w:b/>
          <w:sz w:val="24"/>
          <w:szCs w:val="24"/>
        </w:rPr>
        <w:t>Relevant legislation</w:t>
      </w:r>
    </w:p>
    <w:p w:rsidR="009D072D" w:rsidRPr="00B72166"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b/>
          <w:sz w:val="24"/>
          <w:szCs w:val="24"/>
        </w:rPr>
      </w:pPr>
      <w:r w:rsidRPr="00126113">
        <w:rPr>
          <w:rFonts w:ascii="Arial" w:hAnsi="Arial" w:cs="Arial"/>
          <w:sz w:val="24"/>
          <w:szCs w:val="24"/>
        </w:rPr>
        <w:t>8.</w:t>
      </w:r>
      <w:r w:rsidRPr="00126113">
        <w:rPr>
          <w:rFonts w:ascii="Arial" w:hAnsi="Arial" w:cs="Arial"/>
          <w:sz w:val="24"/>
          <w:szCs w:val="24"/>
        </w:rPr>
        <w:tab/>
        <w:t xml:space="preserve">The scheme of UC was established in Northern Ireland by the Great Britain Secretary of State for Work and Pensions under powers granted by section 1 of the Northern Ireland (Welfare Reform) Act 2015. </w:t>
      </w:r>
      <w:r w:rsidR="00E4143D">
        <w:rPr>
          <w:rFonts w:ascii="Arial" w:hAnsi="Arial" w:cs="Arial"/>
          <w:sz w:val="24"/>
          <w:szCs w:val="24"/>
        </w:rPr>
        <w:t xml:space="preserve"> </w:t>
      </w:r>
      <w:r w:rsidRPr="00126113">
        <w:rPr>
          <w:rFonts w:ascii="Arial" w:hAnsi="Arial" w:cs="Arial"/>
          <w:sz w:val="24"/>
          <w:szCs w:val="24"/>
        </w:rPr>
        <w:t xml:space="preserve">It was introduced on a phased basis, commencing on 27 September 2017. </w:t>
      </w:r>
      <w:r w:rsidR="00E4143D">
        <w:rPr>
          <w:rFonts w:ascii="Arial" w:hAnsi="Arial" w:cs="Arial"/>
          <w:sz w:val="24"/>
          <w:szCs w:val="24"/>
        </w:rPr>
        <w:t xml:space="preserve"> </w:t>
      </w:r>
      <w:r w:rsidRPr="00126113">
        <w:rPr>
          <w:rFonts w:ascii="Arial" w:hAnsi="Arial" w:cs="Arial"/>
          <w:sz w:val="24"/>
          <w:szCs w:val="24"/>
        </w:rPr>
        <w:t>By article 8(1) of the Welfare Reform (NI) Order 2015 (the Order):</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0" w:firstLine="0"/>
        <w:jc w:val="both"/>
        <w:rPr>
          <w:rFonts w:ascii="Arial" w:hAnsi="Arial" w:cs="Arial"/>
          <w:sz w:val="24"/>
          <w:szCs w:val="24"/>
        </w:rPr>
      </w:pPr>
      <w:r>
        <w:rPr>
          <w:rFonts w:ascii="Arial" w:hAnsi="Arial" w:cs="Arial"/>
          <w:sz w:val="24"/>
          <w:szCs w:val="24"/>
        </w:rPr>
        <w:tab/>
        <w:t>(1)</w:t>
      </w:r>
      <w:r>
        <w:rPr>
          <w:rFonts w:ascii="Arial" w:hAnsi="Arial" w:cs="Arial"/>
          <w:sz w:val="24"/>
          <w:szCs w:val="24"/>
        </w:rPr>
        <w:tab/>
      </w:r>
      <w:r w:rsidR="009D072D" w:rsidRPr="00126113">
        <w:rPr>
          <w:rFonts w:ascii="Arial" w:hAnsi="Arial" w:cs="Arial"/>
          <w:sz w:val="24"/>
          <w:szCs w:val="24"/>
        </w:rPr>
        <w:t>A single claimant is entitled to universal credit if the claimant</w:t>
      </w:r>
      <w:r w:rsidR="009D072D" w:rsidRPr="00126113">
        <w:rPr>
          <w:rFonts w:ascii="Arial" w:hAnsi="Arial" w:cs="Arial"/>
          <w:spacing w:val="-2"/>
          <w:sz w:val="24"/>
          <w:szCs w:val="24"/>
        </w:rPr>
        <w:t xml:space="preserve"> </w:t>
      </w:r>
      <w:r w:rsidR="009D072D" w:rsidRPr="00126113">
        <w:rPr>
          <w:rFonts w:ascii="Arial" w:hAnsi="Arial" w:cs="Arial"/>
          <w:sz w:val="24"/>
          <w:szCs w:val="24"/>
        </w:rPr>
        <w:t>meets—</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0" w:firstLine="0"/>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9D072D" w:rsidRPr="00126113">
        <w:rPr>
          <w:rFonts w:ascii="Arial" w:hAnsi="Arial" w:cs="Arial"/>
          <w:sz w:val="24"/>
          <w:szCs w:val="24"/>
        </w:rPr>
        <w:t>the basic conditions,</w:t>
      </w:r>
      <w:r w:rsidR="009D072D" w:rsidRPr="00126113">
        <w:rPr>
          <w:rFonts w:ascii="Arial" w:hAnsi="Arial" w:cs="Arial"/>
          <w:spacing w:val="-1"/>
          <w:sz w:val="24"/>
          <w:szCs w:val="24"/>
        </w:rPr>
        <w:t xml:space="preserve"> </w:t>
      </w:r>
      <w:r w:rsidR="009D072D" w:rsidRPr="00126113">
        <w:rPr>
          <w:rFonts w:ascii="Arial" w:hAnsi="Arial" w:cs="Arial"/>
          <w:sz w:val="24"/>
          <w:szCs w:val="24"/>
        </w:rPr>
        <w:t>and</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0" w:firstLine="0"/>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9D072D" w:rsidRPr="00126113">
        <w:rPr>
          <w:rFonts w:ascii="Arial" w:hAnsi="Arial" w:cs="Arial"/>
          <w:sz w:val="24"/>
          <w:szCs w:val="24"/>
        </w:rPr>
        <w:t>the financial conditions for a single</w:t>
      </w:r>
      <w:r w:rsidR="009D072D" w:rsidRPr="00126113">
        <w:rPr>
          <w:rFonts w:ascii="Arial" w:hAnsi="Arial" w:cs="Arial"/>
          <w:spacing w:val="-4"/>
          <w:sz w:val="24"/>
          <w:szCs w:val="24"/>
        </w:rPr>
        <w:t xml:space="preserve"> </w:t>
      </w:r>
      <w:r w:rsidR="009D072D" w:rsidRPr="00126113">
        <w:rPr>
          <w:rFonts w:ascii="Arial" w:hAnsi="Arial" w:cs="Arial"/>
          <w:sz w:val="24"/>
          <w:szCs w:val="24"/>
        </w:rPr>
        <w:t>claimant.</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767F95" w:rsidP="00DA09E6">
      <w:pPr>
        <w:tabs>
          <w:tab w:val="left" w:pos="510"/>
          <w:tab w:val="left" w:pos="1077"/>
          <w:tab w:val="left" w:pos="1797"/>
        </w:tabs>
        <w:spacing w:after="0" w:line="240" w:lineRule="auto"/>
        <w:jc w:val="both"/>
        <w:rPr>
          <w:rFonts w:ascii="Arial" w:hAnsi="Arial" w:cs="Arial"/>
          <w:sz w:val="24"/>
          <w:szCs w:val="24"/>
        </w:rPr>
      </w:pPr>
      <w:r>
        <w:rPr>
          <w:rFonts w:ascii="Arial" w:hAnsi="Arial" w:cs="Arial"/>
          <w:sz w:val="24"/>
          <w:szCs w:val="24"/>
        </w:rPr>
        <w:tab/>
      </w:r>
      <w:r w:rsidR="009D072D" w:rsidRPr="00126113">
        <w:rPr>
          <w:rFonts w:ascii="Arial" w:hAnsi="Arial" w:cs="Arial"/>
          <w:sz w:val="24"/>
          <w:szCs w:val="24"/>
        </w:rPr>
        <w:t>By article 10 of the Order:</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(1)</w:t>
      </w:r>
      <w:r>
        <w:rPr>
          <w:rFonts w:ascii="Arial" w:hAnsi="Arial" w:cs="Arial"/>
          <w:sz w:val="24"/>
          <w:szCs w:val="24"/>
        </w:rPr>
        <w:tab/>
      </w:r>
      <w:r w:rsidR="009D072D" w:rsidRPr="00126113">
        <w:rPr>
          <w:rFonts w:ascii="Arial" w:hAnsi="Arial" w:cs="Arial"/>
          <w:sz w:val="24"/>
          <w:szCs w:val="24"/>
        </w:rPr>
        <w:t>For the purposes of Article 8, the financial conditions for a single claimant are that—</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9D072D" w:rsidRPr="00126113">
        <w:rPr>
          <w:rFonts w:ascii="Arial" w:hAnsi="Arial" w:cs="Arial"/>
          <w:sz w:val="24"/>
          <w:szCs w:val="24"/>
        </w:rPr>
        <w:t>the claimant’s capital, or a prescribed part of it, is not greater than a prescribed amount,</w:t>
      </w:r>
      <w:r w:rsidR="009D072D" w:rsidRPr="00126113">
        <w:rPr>
          <w:rFonts w:ascii="Arial" w:hAnsi="Arial" w:cs="Arial"/>
          <w:spacing w:val="-1"/>
          <w:sz w:val="24"/>
          <w:szCs w:val="24"/>
        </w:rPr>
        <w:t xml:space="preserve"> </w:t>
      </w:r>
      <w:r w:rsidR="009D072D" w:rsidRPr="00126113">
        <w:rPr>
          <w:rFonts w:ascii="Arial" w:hAnsi="Arial" w:cs="Arial"/>
          <w:sz w:val="24"/>
          <w:szCs w:val="24"/>
        </w:rPr>
        <w:t>and</w:t>
      </w:r>
    </w:p>
    <w:p w:rsidR="009D072D" w:rsidRPr="00126113" w:rsidRDefault="009D072D"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9D072D" w:rsidRPr="00126113">
        <w:rPr>
          <w:rFonts w:ascii="Arial" w:hAnsi="Arial" w:cs="Arial"/>
          <w:sz w:val="24"/>
          <w:szCs w:val="24"/>
        </w:rPr>
        <w:t>the claimant’s income is such that, if the claimant were entitled to universal credit, the amount payable would not be less than any prescribed</w:t>
      </w:r>
      <w:r w:rsidR="009D072D" w:rsidRPr="00126113">
        <w:rPr>
          <w:rFonts w:ascii="Arial" w:hAnsi="Arial" w:cs="Arial"/>
          <w:spacing w:val="-7"/>
          <w:sz w:val="24"/>
          <w:szCs w:val="24"/>
        </w:rPr>
        <w:t xml:space="preserve"> </w:t>
      </w:r>
      <w:r w:rsidR="009D072D" w:rsidRPr="00126113">
        <w:rPr>
          <w:rFonts w:ascii="Arial" w:hAnsi="Arial" w:cs="Arial"/>
          <w:sz w:val="24"/>
          <w:szCs w:val="24"/>
        </w:rPr>
        <w:t>minimum.</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767F95" w:rsidP="00DA09E6">
      <w:pPr>
        <w:tabs>
          <w:tab w:val="left" w:pos="510"/>
          <w:tab w:val="left" w:pos="1077"/>
          <w:tab w:val="left" w:pos="1797"/>
        </w:tabs>
        <w:spacing w:after="0" w:line="240" w:lineRule="auto"/>
        <w:jc w:val="both"/>
        <w:rPr>
          <w:rFonts w:ascii="Arial" w:hAnsi="Arial" w:cs="Arial"/>
          <w:sz w:val="24"/>
          <w:szCs w:val="24"/>
        </w:rPr>
      </w:pPr>
      <w:r>
        <w:rPr>
          <w:rFonts w:ascii="Arial" w:hAnsi="Arial" w:cs="Arial"/>
          <w:sz w:val="24"/>
          <w:szCs w:val="24"/>
        </w:rPr>
        <w:tab/>
      </w:r>
      <w:r w:rsidR="009D072D" w:rsidRPr="00126113">
        <w:rPr>
          <w:rFonts w:ascii="Arial" w:hAnsi="Arial" w:cs="Arial"/>
          <w:sz w:val="24"/>
          <w:szCs w:val="24"/>
        </w:rPr>
        <w:t>By article 12 of the Order:</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(1)</w:t>
      </w:r>
      <w:r>
        <w:rPr>
          <w:rFonts w:ascii="Arial" w:hAnsi="Arial" w:cs="Arial"/>
          <w:sz w:val="24"/>
          <w:szCs w:val="24"/>
        </w:rPr>
        <w:tab/>
      </w:r>
      <w:r w:rsidR="009D072D" w:rsidRPr="00126113">
        <w:rPr>
          <w:rFonts w:ascii="Arial" w:hAnsi="Arial" w:cs="Arial"/>
          <w:sz w:val="24"/>
          <w:szCs w:val="24"/>
        </w:rPr>
        <w:t>Universal credit is payable in respect of each complete assessment</w:t>
      </w:r>
      <w:r w:rsidR="009D072D" w:rsidRPr="00126113">
        <w:rPr>
          <w:rFonts w:ascii="Arial" w:hAnsi="Arial" w:cs="Arial"/>
          <w:spacing w:val="38"/>
          <w:sz w:val="24"/>
          <w:szCs w:val="24"/>
        </w:rPr>
        <w:t xml:space="preserve"> </w:t>
      </w:r>
      <w:r w:rsidR="009D072D" w:rsidRPr="00126113">
        <w:rPr>
          <w:rFonts w:ascii="Arial" w:hAnsi="Arial" w:cs="Arial"/>
          <w:sz w:val="24"/>
          <w:szCs w:val="24"/>
        </w:rPr>
        <w:t>period within a period of</w:t>
      </w:r>
      <w:r w:rsidR="009D072D" w:rsidRPr="00126113">
        <w:rPr>
          <w:rFonts w:ascii="Arial" w:hAnsi="Arial" w:cs="Arial"/>
          <w:spacing w:val="-3"/>
          <w:sz w:val="24"/>
          <w:szCs w:val="24"/>
        </w:rPr>
        <w:t xml:space="preserve"> </w:t>
      </w:r>
      <w:r w:rsidR="009D072D" w:rsidRPr="00126113">
        <w:rPr>
          <w:rFonts w:ascii="Arial" w:hAnsi="Arial" w:cs="Arial"/>
          <w:sz w:val="24"/>
          <w:szCs w:val="24"/>
        </w:rPr>
        <w:t>entitlement.</w:t>
      </w:r>
    </w:p>
    <w:p w:rsidR="009D072D" w:rsidRPr="00126113" w:rsidRDefault="009D072D"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(2)</w:t>
      </w:r>
      <w:r>
        <w:rPr>
          <w:rFonts w:ascii="Arial" w:hAnsi="Arial" w:cs="Arial"/>
          <w:sz w:val="24"/>
          <w:szCs w:val="24"/>
        </w:rPr>
        <w:tab/>
      </w:r>
      <w:r w:rsidR="009D072D" w:rsidRPr="00126113">
        <w:rPr>
          <w:rFonts w:ascii="Arial" w:hAnsi="Arial" w:cs="Arial"/>
          <w:sz w:val="24"/>
          <w:szCs w:val="24"/>
        </w:rPr>
        <w:t>In this Part an “assessment period” is a period of a prescribed</w:t>
      </w:r>
      <w:r w:rsidR="009D072D" w:rsidRPr="00126113">
        <w:rPr>
          <w:rFonts w:ascii="Arial" w:hAnsi="Arial" w:cs="Arial"/>
          <w:spacing w:val="-6"/>
          <w:sz w:val="24"/>
          <w:szCs w:val="24"/>
        </w:rPr>
        <w:t xml:space="preserve"> </w:t>
      </w:r>
      <w:r w:rsidR="009D072D" w:rsidRPr="00126113">
        <w:rPr>
          <w:rFonts w:ascii="Arial" w:hAnsi="Arial" w:cs="Arial"/>
          <w:sz w:val="24"/>
          <w:szCs w:val="24"/>
        </w:rPr>
        <w:t>duration.</w:t>
      </w:r>
    </w:p>
    <w:p w:rsidR="009D072D" w:rsidRPr="00126113" w:rsidRDefault="009D072D"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(3)</w:t>
      </w:r>
      <w:r>
        <w:rPr>
          <w:rFonts w:ascii="Arial" w:hAnsi="Arial" w:cs="Arial"/>
          <w:sz w:val="24"/>
          <w:szCs w:val="24"/>
        </w:rPr>
        <w:tab/>
      </w:r>
      <w:r w:rsidR="009D072D" w:rsidRPr="00126113">
        <w:rPr>
          <w:rFonts w:ascii="Arial" w:hAnsi="Arial" w:cs="Arial"/>
          <w:sz w:val="24"/>
          <w:szCs w:val="24"/>
        </w:rPr>
        <w:t>Regulations may make</w:t>
      </w:r>
      <w:r w:rsidR="009D072D" w:rsidRPr="00126113">
        <w:rPr>
          <w:rFonts w:ascii="Arial" w:hAnsi="Arial" w:cs="Arial"/>
          <w:spacing w:val="-6"/>
          <w:sz w:val="24"/>
          <w:szCs w:val="24"/>
        </w:rPr>
        <w:t xml:space="preserve"> </w:t>
      </w:r>
      <w:r w:rsidR="009D072D" w:rsidRPr="00126113">
        <w:rPr>
          <w:rFonts w:ascii="Arial" w:hAnsi="Arial" w:cs="Arial"/>
          <w:sz w:val="24"/>
          <w:szCs w:val="24"/>
        </w:rPr>
        <w:t>provision—</w:t>
      </w:r>
    </w:p>
    <w:p w:rsidR="009D072D" w:rsidRPr="00126113" w:rsidRDefault="009D072D"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9D072D" w:rsidRPr="00126113">
        <w:rPr>
          <w:rFonts w:ascii="Arial" w:hAnsi="Arial" w:cs="Arial"/>
          <w:sz w:val="24"/>
          <w:szCs w:val="24"/>
        </w:rPr>
        <w:t>about when an assessment period is to</w:t>
      </w:r>
      <w:r w:rsidR="009D072D" w:rsidRPr="00126113">
        <w:rPr>
          <w:rFonts w:ascii="Arial" w:hAnsi="Arial" w:cs="Arial"/>
          <w:spacing w:val="1"/>
          <w:sz w:val="24"/>
          <w:szCs w:val="24"/>
        </w:rPr>
        <w:t xml:space="preserve"> </w:t>
      </w:r>
      <w:r w:rsidR="009D072D" w:rsidRPr="00126113">
        <w:rPr>
          <w:rFonts w:ascii="Arial" w:hAnsi="Arial" w:cs="Arial"/>
          <w:sz w:val="24"/>
          <w:szCs w:val="24"/>
        </w:rPr>
        <w:t>start;</w:t>
      </w:r>
    </w:p>
    <w:p w:rsidR="009D072D" w:rsidRPr="00126113" w:rsidRDefault="009D072D"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9D072D" w:rsidRPr="00126113">
        <w:rPr>
          <w:rFonts w:ascii="Arial" w:hAnsi="Arial" w:cs="Arial"/>
          <w:sz w:val="24"/>
          <w:szCs w:val="24"/>
        </w:rPr>
        <w:t>for universal credit to be payable in respect of a period shorter than an assessment period;</w:t>
      </w:r>
    </w:p>
    <w:p w:rsidR="009D072D" w:rsidRPr="00126113" w:rsidRDefault="009D072D"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9D072D" w:rsidRPr="00126113">
        <w:rPr>
          <w:rFonts w:ascii="Arial" w:hAnsi="Arial" w:cs="Arial"/>
          <w:sz w:val="24"/>
          <w:szCs w:val="24"/>
        </w:rPr>
        <w:t>about the amount payable in respect of a period shorter than an assessment</w:t>
      </w:r>
      <w:r w:rsidR="009D072D" w:rsidRPr="00126113">
        <w:rPr>
          <w:rFonts w:ascii="Arial" w:hAnsi="Arial" w:cs="Arial"/>
          <w:spacing w:val="-10"/>
          <w:sz w:val="24"/>
          <w:szCs w:val="24"/>
        </w:rPr>
        <w:t xml:space="preserve"> </w:t>
      </w:r>
      <w:r w:rsidR="009D072D" w:rsidRPr="00126113">
        <w:rPr>
          <w:rFonts w:ascii="Arial" w:hAnsi="Arial" w:cs="Arial"/>
          <w:sz w:val="24"/>
          <w:szCs w:val="24"/>
        </w:rPr>
        <w:t>period.</w:t>
      </w:r>
    </w:p>
    <w:p w:rsidR="009D072D" w:rsidRPr="00126113" w:rsidRDefault="009D072D"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(4)</w:t>
      </w:r>
      <w:r>
        <w:rPr>
          <w:rFonts w:ascii="Arial" w:hAnsi="Arial" w:cs="Arial"/>
          <w:sz w:val="24"/>
          <w:szCs w:val="24"/>
        </w:rPr>
        <w:tab/>
      </w:r>
      <w:r w:rsidR="009D072D" w:rsidRPr="00126113">
        <w:rPr>
          <w:rFonts w:ascii="Arial" w:hAnsi="Arial" w:cs="Arial"/>
          <w:sz w:val="24"/>
          <w:szCs w:val="24"/>
        </w:rPr>
        <w:t>In paragraph (1) “period of entitlement” means a period during which entitlement to universal credit</w:t>
      </w:r>
      <w:r w:rsidR="009D072D" w:rsidRPr="00126113">
        <w:rPr>
          <w:rFonts w:ascii="Arial" w:hAnsi="Arial" w:cs="Arial"/>
          <w:spacing w:val="-1"/>
          <w:sz w:val="24"/>
          <w:szCs w:val="24"/>
        </w:rPr>
        <w:t xml:space="preserve"> </w:t>
      </w:r>
      <w:r w:rsidR="009D072D" w:rsidRPr="00126113">
        <w:rPr>
          <w:rFonts w:ascii="Arial" w:hAnsi="Arial" w:cs="Arial"/>
          <w:sz w:val="24"/>
          <w:szCs w:val="24"/>
        </w:rPr>
        <w:t>subsists.</w:t>
      </w:r>
    </w:p>
    <w:p w:rsidR="009D072D" w:rsidRPr="00126113" w:rsidRDefault="009D072D" w:rsidP="00DA09E6">
      <w:pPr>
        <w:pStyle w:val="BodyText"/>
        <w:widowControl/>
        <w:tabs>
          <w:tab w:val="left" w:pos="510"/>
          <w:tab w:val="left" w:pos="1077"/>
          <w:tab w:val="left" w:pos="1797"/>
        </w:tabs>
        <w:ind w:left="0"/>
        <w:jc w:val="both"/>
        <w:rPr>
          <w:rFonts w:ascii="Arial" w:hAnsi="Arial" w:cs="Arial"/>
        </w:rPr>
      </w:pPr>
    </w:p>
    <w:p w:rsidR="009D072D" w:rsidRPr="00126113" w:rsidRDefault="00767F95" w:rsidP="00DA09E6">
      <w:pPr>
        <w:pStyle w:val="BodyText"/>
        <w:widowControl/>
        <w:tabs>
          <w:tab w:val="left" w:pos="510"/>
          <w:tab w:val="left" w:pos="1077"/>
          <w:tab w:val="left" w:pos="1797"/>
        </w:tabs>
        <w:ind w:left="0"/>
        <w:jc w:val="both"/>
        <w:rPr>
          <w:rFonts w:ascii="Arial" w:hAnsi="Arial" w:cs="Arial"/>
        </w:rPr>
      </w:pPr>
      <w:r>
        <w:rPr>
          <w:rFonts w:ascii="Arial" w:hAnsi="Arial" w:cs="Arial"/>
        </w:rPr>
        <w:tab/>
      </w:r>
      <w:r w:rsidR="009D072D" w:rsidRPr="00126113">
        <w:rPr>
          <w:rFonts w:ascii="Arial" w:hAnsi="Arial" w:cs="Arial"/>
        </w:rPr>
        <w:t>By article 13 of the Order:</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9D072D" w:rsidRPr="00126113">
        <w:rPr>
          <w:rFonts w:ascii="Arial" w:hAnsi="Arial" w:cs="Arial"/>
          <w:sz w:val="24"/>
          <w:szCs w:val="24"/>
        </w:rPr>
        <w:t>13.—(1) The amount of an award of universal credit is to be the balance</w:t>
      </w:r>
      <w:r w:rsidR="009D072D" w:rsidRPr="00126113">
        <w:rPr>
          <w:rFonts w:ascii="Arial" w:hAnsi="Arial" w:cs="Arial"/>
          <w:spacing w:val="-6"/>
          <w:sz w:val="24"/>
          <w:szCs w:val="24"/>
        </w:rPr>
        <w:t xml:space="preserve"> </w:t>
      </w:r>
      <w:r w:rsidR="009D072D" w:rsidRPr="00126113">
        <w:rPr>
          <w:rFonts w:ascii="Arial" w:hAnsi="Arial" w:cs="Arial"/>
          <w:sz w:val="24"/>
          <w:szCs w:val="24"/>
        </w:rPr>
        <w:t>of—</w:t>
      </w:r>
    </w:p>
    <w:p w:rsidR="009D072D" w:rsidRPr="00126113" w:rsidRDefault="009D072D" w:rsidP="00DA09E6">
      <w:pPr>
        <w:pStyle w:val="ListParagraph"/>
        <w:widowControl/>
        <w:tabs>
          <w:tab w:val="left" w:pos="510"/>
          <w:tab w:val="left" w:pos="1077"/>
          <w:tab w:val="left" w:pos="1797"/>
        </w:tabs>
        <w:spacing w:before="0"/>
        <w:ind w:left="510" w:hanging="51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9D072D" w:rsidRPr="00126113">
        <w:rPr>
          <w:rFonts w:ascii="Arial" w:hAnsi="Arial" w:cs="Arial"/>
          <w:sz w:val="24"/>
          <w:szCs w:val="24"/>
        </w:rPr>
        <w:t>the maximum amount (see paragraph (2)),</w:t>
      </w:r>
      <w:r w:rsidR="009D072D" w:rsidRPr="00126113">
        <w:rPr>
          <w:rFonts w:ascii="Arial" w:hAnsi="Arial" w:cs="Arial"/>
          <w:spacing w:val="-2"/>
          <w:sz w:val="24"/>
          <w:szCs w:val="24"/>
        </w:rPr>
        <w:t xml:space="preserve"> </w:t>
      </w:r>
      <w:r w:rsidR="009D072D" w:rsidRPr="00126113">
        <w:rPr>
          <w:rFonts w:ascii="Arial" w:hAnsi="Arial" w:cs="Arial"/>
          <w:sz w:val="24"/>
          <w:szCs w:val="24"/>
        </w:rPr>
        <w:t>less</w:t>
      </w:r>
    </w:p>
    <w:p w:rsidR="009D072D" w:rsidRPr="00126113" w:rsidRDefault="009D072D" w:rsidP="00DA09E6">
      <w:pPr>
        <w:pStyle w:val="ListParagraph"/>
        <w:widowControl/>
        <w:tabs>
          <w:tab w:val="left" w:pos="510"/>
          <w:tab w:val="left" w:pos="1077"/>
          <w:tab w:val="left" w:pos="1797"/>
        </w:tabs>
        <w:spacing w:before="0"/>
        <w:ind w:left="510" w:hanging="51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9D072D" w:rsidRPr="00126113">
        <w:rPr>
          <w:rFonts w:ascii="Arial" w:hAnsi="Arial" w:cs="Arial"/>
          <w:sz w:val="24"/>
          <w:szCs w:val="24"/>
        </w:rPr>
        <w:t>the amounts to be deducted (see paragraph</w:t>
      </w:r>
      <w:r w:rsidR="009D072D" w:rsidRPr="00126113">
        <w:rPr>
          <w:rFonts w:ascii="Arial" w:hAnsi="Arial" w:cs="Arial"/>
          <w:spacing w:val="-3"/>
          <w:sz w:val="24"/>
          <w:szCs w:val="24"/>
        </w:rPr>
        <w:t xml:space="preserve"> </w:t>
      </w:r>
      <w:r w:rsidR="009D072D" w:rsidRPr="00126113">
        <w:rPr>
          <w:rFonts w:ascii="Arial" w:hAnsi="Arial" w:cs="Arial"/>
          <w:sz w:val="24"/>
          <w:szCs w:val="24"/>
        </w:rPr>
        <w:t>(3)).</w:t>
      </w:r>
    </w:p>
    <w:p w:rsidR="009D072D" w:rsidRPr="00126113" w:rsidRDefault="009D072D" w:rsidP="00DA09E6">
      <w:pPr>
        <w:pStyle w:val="ListParagraph"/>
        <w:widowControl/>
        <w:tabs>
          <w:tab w:val="left" w:pos="510"/>
          <w:tab w:val="left" w:pos="1077"/>
          <w:tab w:val="left" w:pos="1797"/>
        </w:tabs>
        <w:spacing w:before="0"/>
        <w:ind w:left="510" w:hanging="51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9D072D" w:rsidRPr="00126113">
        <w:rPr>
          <w:rFonts w:ascii="Arial" w:hAnsi="Arial" w:cs="Arial"/>
          <w:sz w:val="24"/>
          <w:szCs w:val="24"/>
        </w:rPr>
        <w:t>(2) The maximum amount is the total of-</w:t>
      </w:r>
    </w:p>
    <w:p w:rsidR="009D072D" w:rsidRPr="00126113" w:rsidRDefault="009D072D" w:rsidP="00DA09E6">
      <w:pPr>
        <w:pStyle w:val="ListParagraph"/>
        <w:widowControl/>
        <w:tabs>
          <w:tab w:val="left" w:pos="510"/>
          <w:tab w:val="left" w:pos="1077"/>
          <w:tab w:val="left" w:pos="1797"/>
        </w:tabs>
        <w:spacing w:before="0"/>
        <w:ind w:left="510" w:hanging="51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9D072D" w:rsidRPr="00126113">
        <w:rPr>
          <w:rFonts w:ascii="Arial" w:hAnsi="Arial" w:cs="Arial"/>
          <w:sz w:val="24"/>
          <w:szCs w:val="24"/>
        </w:rPr>
        <w:t>any amount included under Article 14 (standard</w:t>
      </w:r>
      <w:r w:rsidR="009D072D" w:rsidRPr="00126113">
        <w:rPr>
          <w:rFonts w:ascii="Arial" w:hAnsi="Arial" w:cs="Arial"/>
          <w:spacing w:val="-1"/>
          <w:sz w:val="24"/>
          <w:szCs w:val="24"/>
        </w:rPr>
        <w:t xml:space="preserve"> </w:t>
      </w:r>
      <w:r w:rsidR="009D072D" w:rsidRPr="00126113">
        <w:rPr>
          <w:rFonts w:ascii="Arial" w:hAnsi="Arial" w:cs="Arial"/>
          <w:sz w:val="24"/>
          <w:szCs w:val="24"/>
        </w:rPr>
        <w:t>allowance),</w:t>
      </w:r>
    </w:p>
    <w:p w:rsidR="009D072D" w:rsidRPr="00126113" w:rsidRDefault="009D072D"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9D072D" w:rsidRPr="00126113">
        <w:rPr>
          <w:rFonts w:ascii="Arial" w:hAnsi="Arial" w:cs="Arial"/>
          <w:sz w:val="24"/>
          <w:szCs w:val="24"/>
        </w:rPr>
        <w:t>any amount included under Article 15 (responsibility for children and young persons),</w:t>
      </w:r>
    </w:p>
    <w:p w:rsidR="009D072D" w:rsidRPr="00126113" w:rsidRDefault="009D072D"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9D072D" w:rsidRPr="00126113">
        <w:rPr>
          <w:rFonts w:ascii="Arial" w:hAnsi="Arial" w:cs="Arial"/>
          <w:sz w:val="24"/>
          <w:szCs w:val="24"/>
        </w:rPr>
        <w:t>any amount included under Article 16 (housing costs),</w:t>
      </w:r>
      <w:r w:rsidR="009D072D" w:rsidRPr="00126113">
        <w:rPr>
          <w:rFonts w:ascii="Arial" w:hAnsi="Arial" w:cs="Arial"/>
          <w:spacing w:val="-2"/>
          <w:sz w:val="24"/>
          <w:szCs w:val="24"/>
        </w:rPr>
        <w:t xml:space="preserve"> </w:t>
      </w:r>
      <w:r w:rsidR="009D072D" w:rsidRPr="00126113">
        <w:rPr>
          <w:rFonts w:ascii="Arial" w:hAnsi="Arial" w:cs="Arial"/>
          <w:sz w:val="24"/>
          <w:szCs w:val="24"/>
        </w:rPr>
        <w:t>and</w:t>
      </w:r>
    </w:p>
    <w:p w:rsidR="009D072D" w:rsidRPr="00126113" w:rsidRDefault="009D072D"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(d)</w:t>
      </w:r>
      <w:r>
        <w:rPr>
          <w:rFonts w:ascii="Arial" w:hAnsi="Arial" w:cs="Arial"/>
          <w:sz w:val="24"/>
          <w:szCs w:val="24"/>
        </w:rPr>
        <w:tab/>
      </w:r>
      <w:r w:rsidR="009D072D" w:rsidRPr="00126113">
        <w:rPr>
          <w:rFonts w:ascii="Arial" w:hAnsi="Arial" w:cs="Arial"/>
          <w:sz w:val="24"/>
          <w:szCs w:val="24"/>
        </w:rPr>
        <w:t>any amount included under Article 17 (other particular needs or</w:t>
      </w:r>
      <w:r w:rsidR="009D072D" w:rsidRPr="00126113">
        <w:rPr>
          <w:rFonts w:ascii="Arial" w:hAnsi="Arial" w:cs="Arial"/>
          <w:spacing w:val="-8"/>
          <w:sz w:val="24"/>
          <w:szCs w:val="24"/>
        </w:rPr>
        <w:t xml:space="preserve"> </w:t>
      </w:r>
      <w:r w:rsidR="009D072D" w:rsidRPr="00126113">
        <w:rPr>
          <w:rFonts w:ascii="Arial" w:hAnsi="Arial" w:cs="Arial"/>
          <w:sz w:val="24"/>
          <w:szCs w:val="24"/>
        </w:rPr>
        <w:t>circumstances).</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767F95" w:rsidP="00DA09E6">
      <w:pPr>
        <w:pStyle w:val="ListParagraph"/>
        <w:widowControl/>
        <w:tabs>
          <w:tab w:val="left" w:pos="510"/>
          <w:tab w:val="left" w:pos="1077"/>
          <w:tab w:val="left" w:pos="1797"/>
        </w:tabs>
        <w:spacing w:before="0"/>
        <w:ind w:left="0" w:firstLine="0"/>
        <w:jc w:val="both"/>
        <w:rPr>
          <w:rFonts w:ascii="Arial" w:hAnsi="Arial" w:cs="Arial"/>
          <w:sz w:val="24"/>
          <w:szCs w:val="24"/>
        </w:rPr>
      </w:pPr>
      <w:r>
        <w:rPr>
          <w:rFonts w:ascii="Arial" w:hAnsi="Arial" w:cs="Arial"/>
          <w:sz w:val="24"/>
          <w:szCs w:val="24"/>
        </w:rPr>
        <w:tab/>
      </w:r>
      <w:r w:rsidR="006F11B4">
        <w:rPr>
          <w:rFonts w:ascii="Arial" w:hAnsi="Arial" w:cs="Arial"/>
          <w:sz w:val="24"/>
          <w:szCs w:val="24"/>
        </w:rPr>
        <w:t>(3)</w:t>
      </w:r>
      <w:r w:rsidR="006F11B4">
        <w:rPr>
          <w:rFonts w:ascii="Arial" w:hAnsi="Arial" w:cs="Arial"/>
          <w:sz w:val="24"/>
          <w:szCs w:val="24"/>
        </w:rPr>
        <w:tab/>
      </w:r>
      <w:r w:rsidR="009D072D" w:rsidRPr="00126113">
        <w:rPr>
          <w:rFonts w:ascii="Arial" w:hAnsi="Arial" w:cs="Arial"/>
          <w:sz w:val="24"/>
          <w:szCs w:val="24"/>
        </w:rPr>
        <w:t>The amounts to be deducted</w:t>
      </w:r>
      <w:r w:rsidR="009D072D" w:rsidRPr="00126113">
        <w:rPr>
          <w:rFonts w:ascii="Arial" w:hAnsi="Arial" w:cs="Arial"/>
          <w:spacing w:val="-4"/>
          <w:sz w:val="24"/>
          <w:szCs w:val="24"/>
        </w:rPr>
        <w:t xml:space="preserve"> </w:t>
      </w:r>
      <w:r w:rsidR="009D072D" w:rsidRPr="00126113">
        <w:rPr>
          <w:rFonts w:ascii="Arial" w:hAnsi="Arial" w:cs="Arial"/>
          <w:sz w:val="24"/>
          <w:szCs w:val="24"/>
        </w:rPr>
        <w:t>are—</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6F11B4"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9D072D" w:rsidRPr="00126113">
        <w:rPr>
          <w:rFonts w:ascii="Arial" w:hAnsi="Arial" w:cs="Arial"/>
          <w:sz w:val="24"/>
          <w:szCs w:val="24"/>
        </w:rPr>
        <w:t>an amount in respect of earned income calculated in the prescribed manner (which may include multiplying some or all earned income by a prescribed percentage), and</w:t>
      </w:r>
    </w:p>
    <w:p w:rsidR="009D072D" w:rsidRPr="00126113" w:rsidRDefault="009D072D"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p>
    <w:p w:rsidR="009D072D" w:rsidRPr="00126113" w:rsidRDefault="006F11B4"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9D072D" w:rsidRPr="00126113">
        <w:rPr>
          <w:rFonts w:ascii="Arial" w:hAnsi="Arial" w:cs="Arial"/>
          <w:sz w:val="24"/>
          <w:szCs w:val="24"/>
        </w:rPr>
        <w:t>an amount in respect of unearned income calculated in the prescribed manner (which may include multiplying some or all unearned income by a prescribed percentage).</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6F11B4" w:rsidP="00DA09E6">
      <w:pPr>
        <w:pStyle w:val="ListParagraph"/>
        <w:widowControl/>
        <w:tabs>
          <w:tab w:val="left" w:pos="510"/>
          <w:tab w:val="left" w:pos="1077"/>
          <w:tab w:val="left" w:pos="1797"/>
        </w:tabs>
        <w:spacing w:before="0"/>
        <w:ind w:left="0" w:firstLine="0"/>
        <w:jc w:val="both"/>
        <w:rPr>
          <w:rFonts w:ascii="Arial" w:hAnsi="Arial" w:cs="Arial"/>
          <w:sz w:val="24"/>
          <w:szCs w:val="24"/>
        </w:rPr>
      </w:pPr>
      <w:r>
        <w:rPr>
          <w:rFonts w:ascii="Arial" w:hAnsi="Arial" w:cs="Arial"/>
          <w:sz w:val="24"/>
          <w:szCs w:val="24"/>
        </w:rPr>
        <w:tab/>
        <w:t>(4)</w:t>
      </w:r>
      <w:r>
        <w:rPr>
          <w:rFonts w:ascii="Arial" w:hAnsi="Arial" w:cs="Arial"/>
          <w:sz w:val="24"/>
          <w:szCs w:val="24"/>
        </w:rPr>
        <w:tab/>
      </w:r>
      <w:r w:rsidR="009D072D" w:rsidRPr="00126113">
        <w:rPr>
          <w:rFonts w:ascii="Arial" w:hAnsi="Arial" w:cs="Arial"/>
          <w:sz w:val="24"/>
          <w:szCs w:val="24"/>
        </w:rPr>
        <w:t>In paragraph (3)(a) and (b) the references to income</w:t>
      </w:r>
      <w:r w:rsidR="009D072D" w:rsidRPr="00126113">
        <w:rPr>
          <w:rFonts w:ascii="Arial" w:hAnsi="Arial" w:cs="Arial"/>
          <w:spacing w:val="-4"/>
          <w:sz w:val="24"/>
          <w:szCs w:val="24"/>
        </w:rPr>
        <w:t xml:space="preserve"> </w:t>
      </w:r>
      <w:r w:rsidR="009D072D" w:rsidRPr="00126113">
        <w:rPr>
          <w:rFonts w:ascii="Arial" w:hAnsi="Arial" w:cs="Arial"/>
          <w:sz w:val="24"/>
          <w:szCs w:val="24"/>
        </w:rPr>
        <w:t>are—</w:t>
      </w:r>
    </w:p>
    <w:p w:rsidR="009D072D" w:rsidRPr="00126113" w:rsidRDefault="009D072D" w:rsidP="00DA09E6">
      <w:pPr>
        <w:pStyle w:val="ListParagraph"/>
        <w:widowControl/>
        <w:tabs>
          <w:tab w:val="left" w:pos="510"/>
          <w:tab w:val="left" w:pos="1077"/>
          <w:tab w:val="left" w:pos="1797"/>
        </w:tabs>
        <w:spacing w:before="0"/>
        <w:ind w:left="0" w:firstLine="0"/>
        <w:jc w:val="both"/>
        <w:rPr>
          <w:rFonts w:ascii="Arial" w:hAnsi="Arial" w:cs="Arial"/>
          <w:sz w:val="24"/>
          <w:szCs w:val="24"/>
        </w:rPr>
      </w:pPr>
    </w:p>
    <w:p w:rsidR="009D072D" w:rsidRPr="00126113" w:rsidRDefault="006F11B4"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9D072D" w:rsidRPr="00126113">
        <w:rPr>
          <w:rFonts w:ascii="Arial" w:hAnsi="Arial" w:cs="Arial"/>
          <w:sz w:val="24"/>
          <w:szCs w:val="24"/>
        </w:rPr>
        <w:t>in the case of a single claimant, to income of the claimant,</w:t>
      </w:r>
      <w:r w:rsidR="009D072D" w:rsidRPr="00126113">
        <w:rPr>
          <w:rFonts w:ascii="Arial" w:hAnsi="Arial" w:cs="Arial"/>
          <w:spacing w:val="-7"/>
          <w:sz w:val="24"/>
          <w:szCs w:val="24"/>
        </w:rPr>
        <w:t xml:space="preserve"> </w:t>
      </w:r>
      <w:r w:rsidR="009D072D" w:rsidRPr="00126113">
        <w:rPr>
          <w:rFonts w:ascii="Arial" w:hAnsi="Arial" w:cs="Arial"/>
          <w:sz w:val="24"/>
          <w:szCs w:val="24"/>
        </w:rPr>
        <w:t>and</w:t>
      </w:r>
    </w:p>
    <w:p w:rsidR="009D072D" w:rsidRPr="00126113" w:rsidRDefault="009D072D"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p>
    <w:p w:rsidR="009D072D" w:rsidRPr="00126113" w:rsidRDefault="006F11B4" w:rsidP="00DA09E6">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9D072D" w:rsidRPr="00126113">
        <w:rPr>
          <w:rFonts w:ascii="Arial" w:hAnsi="Arial" w:cs="Arial"/>
          <w:sz w:val="24"/>
          <w:szCs w:val="24"/>
        </w:rPr>
        <w:t>in the case of joint claimants, to combined income of the</w:t>
      </w:r>
      <w:r w:rsidR="009D072D" w:rsidRPr="00126113">
        <w:rPr>
          <w:rFonts w:ascii="Arial" w:hAnsi="Arial" w:cs="Arial"/>
          <w:spacing w:val="-7"/>
          <w:sz w:val="24"/>
          <w:szCs w:val="24"/>
        </w:rPr>
        <w:t xml:space="preserve"> </w:t>
      </w:r>
      <w:r w:rsidR="009D072D" w:rsidRPr="00126113">
        <w:rPr>
          <w:rFonts w:ascii="Arial" w:hAnsi="Arial" w:cs="Arial"/>
          <w:sz w:val="24"/>
          <w:szCs w:val="24"/>
        </w:rPr>
        <w:t>claimants.</w:t>
      </w:r>
    </w:p>
    <w:p w:rsidR="009D072D" w:rsidRPr="00126113" w:rsidRDefault="009D072D" w:rsidP="00DA09E6">
      <w:pPr>
        <w:pStyle w:val="BodyText"/>
        <w:widowControl/>
        <w:tabs>
          <w:tab w:val="left" w:pos="510"/>
          <w:tab w:val="left" w:pos="1077"/>
          <w:tab w:val="left" w:pos="1797"/>
        </w:tabs>
        <w:ind w:left="0"/>
        <w:jc w:val="both"/>
        <w:rPr>
          <w:rFonts w:ascii="Arial" w:hAnsi="Arial" w:cs="Arial"/>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9.</w:t>
      </w:r>
      <w:r w:rsidRPr="00126113">
        <w:rPr>
          <w:rFonts w:ascii="Arial" w:hAnsi="Arial" w:cs="Arial"/>
          <w:sz w:val="24"/>
          <w:szCs w:val="24"/>
        </w:rPr>
        <w:tab/>
        <w:t xml:space="preserve">Relevant regulations are the Universal Credit Regulations (NI) 2016 (the UC Regulations). </w:t>
      </w:r>
      <w:r w:rsidR="00257915">
        <w:rPr>
          <w:rFonts w:ascii="Arial" w:hAnsi="Arial" w:cs="Arial"/>
          <w:sz w:val="24"/>
          <w:szCs w:val="24"/>
        </w:rPr>
        <w:t xml:space="preserve"> </w:t>
      </w:r>
      <w:r w:rsidRPr="00126113">
        <w:rPr>
          <w:rFonts w:ascii="Arial" w:hAnsi="Arial" w:cs="Arial"/>
          <w:sz w:val="24"/>
          <w:szCs w:val="24"/>
        </w:rPr>
        <w:t>By regulation 22, these provide for an assessment period as follows:</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257915" w:rsidP="00DA09E6">
      <w:pPr>
        <w:pStyle w:val="ListParagraph"/>
        <w:widowControl/>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9D072D" w:rsidRPr="00126113">
        <w:rPr>
          <w:rFonts w:ascii="Arial" w:hAnsi="Arial" w:cs="Arial"/>
          <w:sz w:val="24"/>
          <w:szCs w:val="24"/>
        </w:rPr>
        <w:t>22.—(1) An assessment period is a period of one month beginning with the first date of entitlement and each subsequent period of one month during which entitlement</w:t>
      </w:r>
      <w:r w:rsidR="009D072D" w:rsidRPr="00126113">
        <w:rPr>
          <w:rFonts w:ascii="Arial" w:hAnsi="Arial" w:cs="Arial"/>
          <w:spacing w:val="-18"/>
          <w:sz w:val="24"/>
          <w:szCs w:val="24"/>
        </w:rPr>
        <w:t xml:space="preserve"> </w:t>
      </w:r>
      <w:r w:rsidR="009D072D" w:rsidRPr="00126113">
        <w:rPr>
          <w:rFonts w:ascii="Arial" w:hAnsi="Arial" w:cs="Arial"/>
          <w:sz w:val="24"/>
          <w:szCs w:val="24"/>
        </w:rPr>
        <w:t>subsists.</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10.</w:t>
      </w:r>
      <w:r w:rsidRPr="00126113">
        <w:rPr>
          <w:rFonts w:ascii="Arial" w:hAnsi="Arial" w:cs="Arial"/>
          <w:sz w:val="24"/>
          <w:szCs w:val="24"/>
        </w:rPr>
        <w:tab/>
        <w:t xml:space="preserve">The definition of “earned income”, which falls to be deducted from the maximum UC award as required by article 13(3), appears at regulation 51 of the UC Regulations. </w:t>
      </w:r>
      <w:r w:rsidR="00257915">
        <w:rPr>
          <w:rFonts w:ascii="Arial" w:hAnsi="Arial" w:cs="Arial"/>
          <w:sz w:val="24"/>
          <w:szCs w:val="24"/>
        </w:rPr>
        <w:t xml:space="preserve"> </w:t>
      </w:r>
      <w:r w:rsidRPr="00126113">
        <w:rPr>
          <w:rFonts w:ascii="Arial" w:hAnsi="Arial" w:cs="Arial"/>
          <w:sz w:val="24"/>
          <w:szCs w:val="24"/>
        </w:rPr>
        <w:t>This provides:</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257915" w:rsidP="00DA09E6">
      <w:pPr>
        <w:tabs>
          <w:tab w:val="left" w:pos="510"/>
          <w:tab w:val="left" w:pos="1077"/>
          <w:tab w:val="left" w:pos="1797"/>
        </w:tabs>
        <w:spacing w:after="0" w:line="240" w:lineRule="auto"/>
        <w:jc w:val="both"/>
        <w:rPr>
          <w:rFonts w:ascii="Arial" w:hAnsi="Arial" w:cs="Arial"/>
          <w:sz w:val="24"/>
          <w:szCs w:val="24"/>
        </w:rPr>
      </w:pPr>
      <w:r>
        <w:rPr>
          <w:rFonts w:ascii="Arial" w:eastAsia="Times New Roman" w:hAnsi="Arial" w:cs="Arial"/>
          <w:sz w:val="24"/>
          <w:szCs w:val="24"/>
        </w:rPr>
        <w:tab/>
      </w:r>
      <w:r w:rsidR="009D072D" w:rsidRPr="00126113">
        <w:rPr>
          <w:rFonts w:ascii="Arial" w:eastAsia="Times New Roman" w:hAnsi="Arial" w:cs="Arial"/>
          <w:sz w:val="24"/>
          <w:szCs w:val="24"/>
        </w:rPr>
        <w:t>51.</w:t>
      </w:r>
      <w:r>
        <w:rPr>
          <w:rFonts w:ascii="Arial" w:hAnsi="Arial" w:cs="Arial"/>
          <w:sz w:val="24"/>
          <w:szCs w:val="24"/>
        </w:rPr>
        <w:t xml:space="preserve"> “Earned income” means—</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257915" w:rsidP="00DA09E6">
      <w:pPr>
        <w:tabs>
          <w:tab w:val="left" w:pos="510"/>
          <w:tab w:val="left" w:pos="1077"/>
          <w:tab w:val="left" w:pos="1797"/>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D072D" w:rsidRPr="00126113">
        <w:rPr>
          <w:rFonts w:ascii="Arial" w:hAnsi="Arial" w:cs="Arial"/>
          <w:sz w:val="24"/>
          <w:szCs w:val="24"/>
        </w:rPr>
        <w:t>(a)</w:t>
      </w:r>
      <w:r>
        <w:rPr>
          <w:rFonts w:ascii="Arial" w:hAnsi="Arial" w:cs="Arial"/>
          <w:sz w:val="24"/>
          <w:szCs w:val="24"/>
        </w:rPr>
        <w:tab/>
      </w:r>
      <w:r w:rsidR="009D072D" w:rsidRPr="00126113">
        <w:rPr>
          <w:rFonts w:ascii="Arial" w:hAnsi="Arial" w:cs="Arial"/>
          <w:sz w:val="24"/>
          <w:szCs w:val="24"/>
        </w:rPr>
        <w:t xml:space="preserve">the remuneration or profits derived from— </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257915" w:rsidP="00DA09E6">
      <w:pPr>
        <w:tabs>
          <w:tab w:val="left" w:pos="510"/>
          <w:tab w:val="left" w:pos="1077"/>
          <w:tab w:val="left" w:pos="1797"/>
          <w:tab w:val="left" w:pos="2268"/>
        </w:tabs>
        <w:spacing w:after="0" w:line="240" w:lineRule="auto"/>
        <w:ind w:left="2268" w:hanging="226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w:t>
      </w:r>
      <w:r>
        <w:rPr>
          <w:rFonts w:ascii="Arial" w:hAnsi="Arial" w:cs="Arial"/>
          <w:sz w:val="24"/>
          <w:szCs w:val="24"/>
        </w:rPr>
        <w:tab/>
      </w:r>
      <w:r w:rsidR="009D072D" w:rsidRPr="00126113">
        <w:rPr>
          <w:rFonts w:ascii="Arial" w:hAnsi="Arial" w:cs="Arial"/>
          <w:sz w:val="24"/>
          <w:szCs w:val="24"/>
        </w:rPr>
        <w:t>employment under a contract of service or in an off</w:t>
      </w:r>
      <w:r w:rsidR="005E2862">
        <w:rPr>
          <w:rFonts w:ascii="Arial" w:hAnsi="Arial" w:cs="Arial"/>
          <w:sz w:val="24"/>
          <w:szCs w:val="24"/>
        </w:rPr>
        <w:t>ice, including elective office,</w:t>
      </w:r>
    </w:p>
    <w:p w:rsidR="009D072D" w:rsidRPr="00126113" w:rsidRDefault="009D072D" w:rsidP="00DA09E6">
      <w:pPr>
        <w:tabs>
          <w:tab w:val="left" w:pos="510"/>
          <w:tab w:val="left" w:pos="1077"/>
          <w:tab w:val="left" w:pos="1797"/>
          <w:tab w:val="left" w:pos="2268"/>
        </w:tabs>
        <w:spacing w:after="0" w:line="240" w:lineRule="auto"/>
        <w:ind w:left="2268" w:hanging="2268"/>
        <w:jc w:val="both"/>
        <w:rPr>
          <w:rFonts w:ascii="Arial" w:hAnsi="Arial" w:cs="Arial"/>
          <w:sz w:val="24"/>
          <w:szCs w:val="24"/>
        </w:rPr>
      </w:pPr>
    </w:p>
    <w:p w:rsidR="009D072D" w:rsidRPr="00126113" w:rsidRDefault="00257915" w:rsidP="00DA09E6">
      <w:pPr>
        <w:tabs>
          <w:tab w:val="left" w:pos="510"/>
          <w:tab w:val="left" w:pos="1077"/>
          <w:tab w:val="left" w:pos="1797"/>
          <w:tab w:val="left" w:pos="2268"/>
        </w:tabs>
        <w:spacing w:after="0" w:line="240" w:lineRule="auto"/>
        <w:ind w:left="2268" w:hanging="226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(ii)</w:t>
      </w:r>
      <w:r>
        <w:rPr>
          <w:rFonts w:ascii="Arial" w:hAnsi="Arial" w:cs="Arial"/>
          <w:sz w:val="24"/>
          <w:szCs w:val="24"/>
        </w:rPr>
        <w:tab/>
      </w:r>
      <w:r w:rsidR="009D072D" w:rsidRPr="00126113">
        <w:rPr>
          <w:rFonts w:ascii="Arial" w:hAnsi="Arial" w:cs="Arial"/>
          <w:sz w:val="24"/>
          <w:szCs w:val="24"/>
        </w:rPr>
        <w:t>a tr</w:t>
      </w:r>
      <w:r w:rsidR="005E2862">
        <w:rPr>
          <w:rFonts w:ascii="Arial" w:hAnsi="Arial" w:cs="Arial"/>
          <w:sz w:val="24"/>
          <w:szCs w:val="24"/>
        </w:rPr>
        <w:t>ade, profession or vocation, or</w:t>
      </w:r>
    </w:p>
    <w:p w:rsidR="009D072D" w:rsidRPr="00126113" w:rsidRDefault="009D072D" w:rsidP="00DA09E6">
      <w:pPr>
        <w:tabs>
          <w:tab w:val="left" w:pos="510"/>
          <w:tab w:val="left" w:pos="1077"/>
          <w:tab w:val="left" w:pos="1797"/>
          <w:tab w:val="left" w:pos="2268"/>
        </w:tabs>
        <w:spacing w:after="0" w:line="240" w:lineRule="auto"/>
        <w:ind w:left="2268" w:hanging="2268"/>
        <w:jc w:val="both"/>
        <w:rPr>
          <w:rFonts w:ascii="Arial" w:hAnsi="Arial" w:cs="Arial"/>
          <w:sz w:val="24"/>
          <w:szCs w:val="24"/>
        </w:rPr>
      </w:pPr>
    </w:p>
    <w:p w:rsidR="009D072D" w:rsidRPr="00126113" w:rsidRDefault="00257915" w:rsidP="00DA09E6">
      <w:pPr>
        <w:tabs>
          <w:tab w:val="left" w:pos="510"/>
          <w:tab w:val="left" w:pos="1077"/>
          <w:tab w:val="left" w:pos="1797"/>
          <w:tab w:val="left" w:pos="2268"/>
        </w:tabs>
        <w:spacing w:after="0" w:line="240" w:lineRule="auto"/>
        <w:ind w:left="2268" w:hanging="226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(iii)</w:t>
      </w:r>
      <w:r>
        <w:rPr>
          <w:rFonts w:ascii="Arial" w:hAnsi="Arial" w:cs="Arial"/>
          <w:sz w:val="24"/>
          <w:szCs w:val="24"/>
        </w:rPr>
        <w:tab/>
      </w:r>
      <w:r w:rsidR="009D072D" w:rsidRPr="00126113">
        <w:rPr>
          <w:rFonts w:ascii="Arial" w:hAnsi="Arial" w:cs="Arial"/>
          <w:sz w:val="24"/>
          <w:szCs w:val="24"/>
        </w:rPr>
        <w:t>any other paid work; or</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r w:rsidRPr="00126113">
        <w:rPr>
          <w:rFonts w:ascii="Arial" w:hAnsi="Arial" w:cs="Arial"/>
          <w:sz w:val="24"/>
          <w:szCs w:val="24"/>
        </w:rPr>
        <w:t xml:space="preserve"> </w:t>
      </w:r>
    </w:p>
    <w:p w:rsidR="009D072D" w:rsidRPr="00126113" w:rsidRDefault="00257915" w:rsidP="00DA09E6">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sidR="009D072D" w:rsidRPr="00126113">
        <w:rPr>
          <w:rFonts w:ascii="Arial" w:hAnsi="Arial" w:cs="Arial"/>
          <w:sz w:val="24"/>
          <w:szCs w:val="24"/>
        </w:rPr>
        <w:t>(b)</w:t>
      </w:r>
      <w:r>
        <w:rPr>
          <w:rFonts w:ascii="Arial" w:hAnsi="Arial" w:cs="Arial"/>
          <w:sz w:val="24"/>
          <w:szCs w:val="24"/>
        </w:rPr>
        <w:tab/>
      </w:r>
      <w:r w:rsidR="009D072D" w:rsidRPr="00126113">
        <w:rPr>
          <w:rFonts w:ascii="Arial" w:hAnsi="Arial" w:cs="Arial"/>
          <w:sz w:val="24"/>
          <w:szCs w:val="24"/>
        </w:rPr>
        <w:t xml:space="preserve">any income treated as earned income in accordance with this Chapter. </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11.</w:t>
      </w:r>
      <w:r w:rsidRPr="00126113">
        <w:rPr>
          <w:rFonts w:ascii="Arial" w:hAnsi="Arial" w:cs="Arial"/>
          <w:sz w:val="24"/>
          <w:szCs w:val="24"/>
        </w:rPr>
        <w:tab/>
      </w:r>
      <w:r w:rsidR="009D072D" w:rsidRPr="00126113">
        <w:rPr>
          <w:rFonts w:ascii="Arial" w:hAnsi="Arial" w:cs="Arial"/>
          <w:sz w:val="24"/>
          <w:szCs w:val="24"/>
        </w:rPr>
        <w:t>The general principle for the calculation of “earned income” is provided for at regulation 53</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E2862" w:rsidP="00DA09E6">
      <w:pPr>
        <w:tabs>
          <w:tab w:val="left" w:pos="510"/>
          <w:tab w:val="left" w:pos="1077"/>
          <w:tab w:val="left" w:pos="1797"/>
        </w:tabs>
        <w:spacing w:after="0" w:line="240" w:lineRule="auto"/>
        <w:ind w:left="510" w:hanging="510"/>
        <w:jc w:val="both"/>
        <w:rPr>
          <w:rFonts w:ascii="Arial" w:hAnsi="Arial" w:cs="Arial"/>
          <w:sz w:val="24"/>
          <w:szCs w:val="24"/>
        </w:rPr>
      </w:pPr>
      <w:r>
        <w:rPr>
          <w:rFonts w:ascii="Arial" w:eastAsia="Times New Roman" w:hAnsi="Arial" w:cs="Arial"/>
          <w:sz w:val="24"/>
          <w:szCs w:val="24"/>
        </w:rPr>
        <w:tab/>
      </w:r>
      <w:r w:rsidR="009D072D" w:rsidRPr="00126113">
        <w:rPr>
          <w:rFonts w:ascii="Arial" w:eastAsia="Times New Roman" w:hAnsi="Arial" w:cs="Arial"/>
          <w:sz w:val="24"/>
          <w:szCs w:val="24"/>
        </w:rPr>
        <w:t>53.</w:t>
      </w:r>
      <w:r w:rsidR="009D072D" w:rsidRPr="00126113">
        <w:rPr>
          <w:rFonts w:ascii="Arial" w:hAnsi="Arial" w:cs="Arial"/>
          <w:sz w:val="24"/>
          <w:szCs w:val="24"/>
        </w:rPr>
        <w:t>—(1) The calculation of a person’s earned income in respect of an assessment period is, unless otherwise provided in this Chapter, to be based on the actual a</w:t>
      </w:r>
      <w:r>
        <w:rPr>
          <w:rFonts w:ascii="Arial" w:hAnsi="Arial" w:cs="Arial"/>
          <w:sz w:val="24"/>
          <w:szCs w:val="24"/>
        </w:rPr>
        <w:t>mounts received in that period.</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E2862" w:rsidP="00DA09E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9D072D" w:rsidRPr="00126113">
        <w:rPr>
          <w:rFonts w:ascii="Arial" w:hAnsi="Arial" w:cs="Arial"/>
          <w:sz w:val="24"/>
          <w:szCs w:val="24"/>
        </w:rPr>
        <w:t>(2)</w:t>
      </w:r>
      <w:r w:rsidR="009D072D" w:rsidRPr="00126113">
        <w:rPr>
          <w:rFonts w:ascii="Arial" w:eastAsia="Arial" w:hAnsi="Arial" w:cs="Arial"/>
          <w:sz w:val="24"/>
          <w:szCs w:val="24"/>
        </w:rPr>
        <w:t xml:space="preserve"> </w:t>
      </w:r>
      <w:r>
        <w:rPr>
          <w:rFonts w:ascii="Arial" w:hAnsi="Arial" w:cs="Arial"/>
          <w:sz w:val="24"/>
          <w:szCs w:val="24"/>
        </w:rPr>
        <w:t>Where the Department—</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E2862" w:rsidP="00DA09E6">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9D072D" w:rsidRPr="00126113">
        <w:rPr>
          <w:rFonts w:ascii="Arial" w:hAnsi="Arial" w:cs="Arial"/>
          <w:sz w:val="24"/>
          <w:szCs w:val="24"/>
        </w:rPr>
        <w:t>(a) makes a determination as to whether the financial conditions in Article 10 of the Order are met before the expiry of the first assessment period in relation to a</w:t>
      </w:r>
      <w:r>
        <w:rPr>
          <w:rFonts w:ascii="Arial" w:hAnsi="Arial" w:cs="Arial"/>
          <w:sz w:val="24"/>
          <w:szCs w:val="24"/>
        </w:rPr>
        <w:t xml:space="preserve"> claim for universal credit, or</w:t>
      </w:r>
    </w:p>
    <w:p w:rsidR="005947FB" w:rsidRPr="00126113" w:rsidRDefault="005947FB" w:rsidP="00DA09E6">
      <w:pPr>
        <w:tabs>
          <w:tab w:val="left" w:pos="510"/>
          <w:tab w:val="left" w:pos="1077"/>
          <w:tab w:val="left" w:pos="1797"/>
        </w:tabs>
        <w:spacing w:after="0" w:line="240" w:lineRule="auto"/>
        <w:ind w:left="1077" w:hanging="1077"/>
        <w:jc w:val="both"/>
        <w:rPr>
          <w:rFonts w:ascii="Arial" w:hAnsi="Arial" w:cs="Arial"/>
          <w:sz w:val="24"/>
          <w:szCs w:val="24"/>
        </w:rPr>
      </w:pPr>
    </w:p>
    <w:p w:rsidR="009D072D" w:rsidRPr="00126113" w:rsidRDefault="005E2862" w:rsidP="00DA09E6">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9D072D" w:rsidRPr="00126113">
        <w:rPr>
          <w:rFonts w:ascii="Arial" w:hAnsi="Arial" w:cs="Arial"/>
          <w:sz w:val="24"/>
          <w:szCs w:val="24"/>
        </w:rPr>
        <w:t xml:space="preserve">(b) makes a determination as to the amount of a person’s unearned income in relation to an assessment period where a person has failed to report information in </w:t>
      </w:r>
      <w:r>
        <w:rPr>
          <w:rFonts w:ascii="Arial" w:hAnsi="Arial" w:cs="Arial"/>
          <w:sz w:val="24"/>
          <w:szCs w:val="24"/>
        </w:rPr>
        <w:t>relation to that earned income,</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E2862" w:rsidP="00DA09E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9D072D" w:rsidRPr="00126113">
        <w:rPr>
          <w:rFonts w:ascii="Arial" w:hAnsi="Arial" w:cs="Arial"/>
          <w:sz w:val="24"/>
          <w:szCs w:val="24"/>
        </w:rPr>
        <w:t>that determination may be based on an estimate of the amounts received or expected to be received in that assessment pe</w:t>
      </w:r>
      <w:r>
        <w:rPr>
          <w:rFonts w:ascii="Arial" w:hAnsi="Arial" w:cs="Arial"/>
          <w:sz w:val="24"/>
          <w:szCs w:val="24"/>
        </w:rPr>
        <w:t>riod.</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12.</w:t>
      </w:r>
      <w:r w:rsidRPr="00126113">
        <w:rPr>
          <w:rFonts w:ascii="Arial" w:hAnsi="Arial" w:cs="Arial"/>
          <w:sz w:val="24"/>
          <w:szCs w:val="24"/>
        </w:rPr>
        <w:tab/>
      </w:r>
      <w:r w:rsidR="009D072D" w:rsidRPr="00126113">
        <w:rPr>
          <w:rFonts w:ascii="Arial" w:hAnsi="Arial" w:cs="Arial"/>
          <w:sz w:val="24"/>
          <w:szCs w:val="24"/>
        </w:rPr>
        <w:t xml:space="preserve">The mechanism for calculating earned income is provided by regulation 55. </w:t>
      </w:r>
      <w:r w:rsidR="005E2862">
        <w:rPr>
          <w:rFonts w:ascii="Arial" w:hAnsi="Arial" w:cs="Arial"/>
          <w:sz w:val="24"/>
          <w:szCs w:val="24"/>
        </w:rPr>
        <w:t xml:space="preserve"> </w:t>
      </w:r>
      <w:r w:rsidR="009D072D" w:rsidRPr="00126113">
        <w:rPr>
          <w:rFonts w:ascii="Arial" w:hAnsi="Arial" w:cs="Arial"/>
          <w:sz w:val="24"/>
          <w:szCs w:val="24"/>
        </w:rPr>
        <w:t>This provides:</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E2862" w:rsidP="00DA09E6">
      <w:pPr>
        <w:pStyle w:val="legp1paratext"/>
        <w:tabs>
          <w:tab w:val="left" w:pos="510"/>
          <w:tab w:val="left" w:pos="1077"/>
          <w:tab w:val="left" w:pos="1797"/>
        </w:tabs>
        <w:spacing w:before="0" w:beforeAutospacing="0" w:after="0" w:afterAutospacing="0"/>
        <w:ind w:left="510" w:hanging="510"/>
        <w:jc w:val="both"/>
        <w:rPr>
          <w:rFonts w:ascii="Arial" w:hAnsi="Arial" w:cs="Arial"/>
        </w:rPr>
      </w:pPr>
      <w:r>
        <w:rPr>
          <w:rStyle w:val="legp1no"/>
          <w:rFonts w:ascii="Arial" w:hAnsi="Arial" w:cs="Arial"/>
          <w:bCs/>
        </w:rPr>
        <w:tab/>
      </w:r>
      <w:r w:rsidR="009D072D" w:rsidRPr="00126113">
        <w:rPr>
          <w:rStyle w:val="legp1no"/>
          <w:rFonts w:ascii="Arial" w:hAnsi="Arial" w:cs="Arial"/>
          <w:bCs/>
        </w:rPr>
        <w:t>55.</w:t>
      </w:r>
      <w:r>
        <w:rPr>
          <w:rFonts w:ascii="Arial" w:hAnsi="Arial" w:cs="Arial"/>
        </w:rPr>
        <w:t xml:space="preserve">—(1) </w:t>
      </w:r>
      <w:r w:rsidR="009D072D" w:rsidRPr="00126113">
        <w:rPr>
          <w:rFonts w:ascii="Arial" w:hAnsi="Arial" w:cs="Arial"/>
        </w:rPr>
        <w:t>This regulation applies for the purposes of calculating earned income from employment under a contract of service or in an office including elective office (“employed earnings”).</w:t>
      </w:r>
    </w:p>
    <w:p w:rsidR="009D072D" w:rsidRPr="00126113" w:rsidRDefault="009D072D" w:rsidP="00DA09E6">
      <w:pPr>
        <w:pStyle w:val="legp2paratext"/>
        <w:tabs>
          <w:tab w:val="left" w:pos="510"/>
          <w:tab w:val="left" w:pos="1077"/>
          <w:tab w:val="left" w:pos="1797"/>
        </w:tabs>
        <w:spacing w:before="0" w:beforeAutospacing="0" w:after="0" w:afterAutospacing="0"/>
        <w:ind w:left="510" w:hanging="510"/>
        <w:jc w:val="both"/>
        <w:rPr>
          <w:rFonts w:ascii="Arial" w:hAnsi="Arial" w:cs="Arial"/>
        </w:rPr>
      </w:pPr>
    </w:p>
    <w:p w:rsidR="009D072D" w:rsidRPr="00126113" w:rsidRDefault="005E2862" w:rsidP="00DA09E6">
      <w:pPr>
        <w:pStyle w:val="legp2paratext"/>
        <w:tabs>
          <w:tab w:val="left" w:pos="510"/>
          <w:tab w:val="left" w:pos="1077"/>
          <w:tab w:val="left" w:pos="1797"/>
        </w:tabs>
        <w:spacing w:before="0" w:beforeAutospacing="0" w:after="0" w:afterAutospacing="0"/>
        <w:ind w:left="510" w:hanging="510"/>
        <w:jc w:val="both"/>
        <w:rPr>
          <w:rFonts w:ascii="Arial" w:hAnsi="Arial" w:cs="Arial"/>
        </w:rPr>
      </w:pPr>
      <w:r>
        <w:rPr>
          <w:rFonts w:ascii="Arial" w:hAnsi="Arial" w:cs="Arial"/>
        </w:rPr>
        <w:tab/>
      </w:r>
      <w:r w:rsidR="009D072D" w:rsidRPr="00126113">
        <w:rPr>
          <w:rFonts w:ascii="Arial" w:hAnsi="Arial" w:cs="Arial"/>
        </w:rPr>
        <w:t>(2) Employed earnings comprise any amounts that are general earnings as defined in section 7(3) of the ITEPA but excluding—</w:t>
      </w:r>
    </w:p>
    <w:p w:rsidR="009D072D" w:rsidRPr="00126113" w:rsidRDefault="009D072D" w:rsidP="00DA09E6">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p>
    <w:p w:rsidR="009D072D" w:rsidRPr="00126113" w:rsidRDefault="005E2862" w:rsidP="00DA09E6">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(a) amounts that are treated as earnings under Chapters 2 to 11 of Part 3 of that Act (employment income: earnings and benefit etc treated as income), and</w:t>
      </w:r>
    </w:p>
    <w:p w:rsidR="009D072D" w:rsidRPr="00126113" w:rsidRDefault="009D072D" w:rsidP="00DA09E6">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p>
    <w:p w:rsidR="009D072D" w:rsidRPr="00126113" w:rsidRDefault="005E2862" w:rsidP="00DA09E6">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(b) amounts that are exempt from income tax under Part 4 of that Act (employment income: exemptions).</w:t>
      </w:r>
    </w:p>
    <w:p w:rsidR="009D072D" w:rsidRPr="00126113" w:rsidRDefault="009D072D" w:rsidP="00DA09E6">
      <w:pPr>
        <w:pStyle w:val="legp2paratext"/>
        <w:tabs>
          <w:tab w:val="left" w:pos="510"/>
          <w:tab w:val="left" w:pos="1077"/>
          <w:tab w:val="left" w:pos="1797"/>
        </w:tabs>
        <w:spacing w:before="0" w:beforeAutospacing="0" w:after="0" w:afterAutospacing="0"/>
        <w:jc w:val="both"/>
        <w:rPr>
          <w:rFonts w:ascii="Arial" w:hAnsi="Arial" w:cs="Arial"/>
        </w:rPr>
      </w:pPr>
    </w:p>
    <w:p w:rsidR="009D072D" w:rsidRPr="00126113" w:rsidRDefault="005E2862" w:rsidP="00DA09E6">
      <w:pPr>
        <w:pStyle w:val="legp2paratext"/>
        <w:tabs>
          <w:tab w:val="left" w:pos="510"/>
          <w:tab w:val="left" w:pos="1077"/>
          <w:tab w:val="left" w:pos="1797"/>
        </w:tabs>
        <w:spacing w:before="0" w:beforeAutospacing="0" w:after="0" w:afterAutospacing="0"/>
        <w:jc w:val="both"/>
        <w:rPr>
          <w:rFonts w:ascii="Arial" w:hAnsi="Arial" w:cs="Arial"/>
        </w:rPr>
      </w:pPr>
      <w:r>
        <w:rPr>
          <w:rFonts w:ascii="Arial" w:hAnsi="Arial" w:cs="Arial"/>
        </w:rPr>
        <w:tab/>
      </w:r>
      <w:r w:rsidR="009D072D" w:rsidRPr="00126113">
        <w:rPr>
          <w:rFonts w:ascii="Arial" w:hAnsi="Arial" w:cs="Arial"/>
        </w:rPr>
        <w:t>(3) … (not relevant)</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13.</w:t>
      </w:r>
      <w:r w:rsidRPr="00126113">
        <w:rPr>
          <w:rFonts w:ascii="Arial" w:hAnsi="Arial" w:cs="Arial"/>
          <w:sz w:val="24"/>
          <w:szCs w:val="24"/>
        </w:rPr>
        <w:tab/>
      </w:r>
      <w:r w:rsidR="009D072D" w:rsidRPr="00126113">
        <w:rPr>
          <w:rFonts w:ascii="Arial" w:hAnsi="Arial" w:cs="Arial"/>
          <w:sz w:val="24"/>
          <w:szCs w:val="24"/>
        </w:rPr>
        <w:t xml:space="preserve">The reference to ITEPA is a reference to the Income Tax (Earnings and Pensions) Act 2003, which I will henceforth also refer to as the ITEPA. </w:t>
      </w:r>
      <w:r w:rsidR="005E2862">
        <w:rPr>
          <w:rFonts w:ascii="Arial" w:hAnsi="Arial" w:cs="Arial"/>
          <w:sz w:val="24"/>
          <w:szCs w:val="24"/>
        </w:rPr>
        <w:t xml:space="preserve"> </w:t>
      </w:r>
      <w:r w:rsidR="009D072D" w:rsidRPr="00126113">
        <w:rPr>
          <w:rFonts w:ascii="Arial" w:hAnsi="Arial" w:cs="Arial"/>
          <w:sz w:val="24"/>
          <w:szCs w:val="24"/>
        </w:rPr>
        <w:t>By section 7(3) of the ITEPA:</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E2862" w:rsidP="00DA09E6">
      <w:pPr>
        <w:pStyle w:val="legclearfix"/>
        <w:tabs>
          <w:tab w:val="left" w:pos="510"/>
          <w:tab w:val="left" w:pos="1077"/>
          <w:tab w:val="left" w:pos="1797"/>
        </w:tabs>
        <w:spacing w:before="0" w:beforeAutospacing="0" w:after="0" w:afterAutospacing="0"/>
        <w:jc w:val="both"/>
        <w:rPr>
          <w:rStyle w:val="legds"/>
          <w:rFonts w:ascii="Arial" w:hAnsi="Arial" w:cs="Arial"/>
        </w:rPr>
      </w:pPr>
      <w:r>
        <w:rPr>
          <w:rStyle w:val="legds"/>
          <w:rFonts w:ascii="Arial" w:hAnsi="Arial" w:cs="Arial"/>
        </w:rPr>
        <w:tab/>
      </w:r>
      <w:r w:rsidR="009D072D" w:rsidRPr="00126113">
        <w:rPr>
          <w:rStyle w:val="legds"/>
          <w:rFonts w:ascii="Arial" w:hAnsi="Arial" w:cs="Arial"/>
        </w:rPr>
        <w:t>(3) “</w:t>
      </w:r>
      <w:r w:rsidR="009D072D" w:rsidRPr="00126113">
        <w:rPr>
          <w:rStyle w:val="legterm"/>
          <w:rFonts w:ascii="Arial" w:hAnsi="Arial" w:cs="Arial"/>
        </w:rPr>
        <w:t>General earnings</w:t>
      </w:r>
      <w:r w:rsidR="009D072D" w:rsidRPr="00126113">
        <w:rPr>
          <w:rStyle w:val="legds"/>
          <w:rFonts w:ascii="Arial" w:hAnsi="Arial" w:cs="Arial"/>
        </w:rPr>
        <w:t>” means—</w:t>
      </w:r>
    </w:p>
    <w:p w:rsidR="009D072D" w:rsidRPr="00126113" w:rsidRDefault="009D072D" w:rsidP="00DA09E6">
      <w:pPr>
        <w:pStyle w:val="legclearfix"/>
        <w:tabs>
          <w:tab w:val="left" w:pos="510"/>
          <w:tab w:val="left" w:pos="1077"/>
          <w:tab w:val="left" w:pos="1797"/>
        </w:tabs>
        <w:spacing w:before="0" w:beforeAutospacing="0" w:after="0" w:afterAutospacing="0"/>
        <w:jc w:val="both"/>
        <w:rPr>
          <w:rFonts w:ascii="Arial" w:hAnsi="Arial" w:cs="Arial"/>
        </w:rPr>
      </w:pPr>
    </w:p>
    <w:p w:rsidR="009D072D" w:rsidRDefault="005E2862" w:rsidP="00DA09E6">
      <w:pPr>
        <w:pStyle w:val="legclearfix"/>
        <w:tabs>
          <w:tab w:val="left" w:pos="510"/>
          <w:tab w:val="left" w:pos="1077"/>
          <w:tab w:val="left" w:pos="1797"/>
        </w:tabs>
        <w:spacing w:before="0" w:beforeAutospacing="0" w:after="0" w:afterAutospacing="0"/>
        <w:jc w:val="both"/>
        <w:rPr>
          <w:rStyle w:val="legds"/>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(a) earnings within Chapter 1 of Part 3, or</w:t>
      </w:r>
    </w:p>
    <w:p w:rsidR="005E2862" w:rsidRDefault="005E2862" w:rsidP="00DA09E6">
      <w:pPr>
        <w:pStyle w:val="legclearfix"/>
        <w:tabs>
          <w:tab w:val="left" w:pos="510"/>
          <w:tab w:val="left" w:pos="1077"/>
          <w:tab w:val="left" w:pos="1797"/>
        </w:tabs>
        <w:spacing w:before="0" w:beforeAutospacing="0" w:after="0" w:afterAutospacing="0"/>
        <w:jc w:val="both"/>
        <w:rPr>
          <w:rStyle w:val="legds"/>
          <w:rFonts w:ascii="Arial" w:hAnsi="Arial" w:cs="Arial"/>
        </w:rPr>
      </w:pPr>
    </w:p>
    <w:p w:rsidR="009D072D" w:rsidRPr="00126113" w:rsidRDefault="005E2862" w:rsidP="00DA09E6">
      <w:pPr>
        <w:pStyle w:val="legclearfix"/>
        <w:tabs>
          <w:tab w:val="left" w:pos="510"/>
          <w:tab w:val="left" w:pos="1077"/>
          <w:tab w:val="left" w:pos="1797"/>
        </w:tabs>
        <w:spacing w:before="0" w:beforeAutospacing="0" w:after="0" w:afterAutospacing="0"/>
        <w:jc w:val="both"/>
        <w:rPr>
          <w:rStyle w:val="legds"/>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(b) any amount treated as earnings (see subsection (5)),</w:t>
      </w:r>
    </w:p>
    <w:p w:rsidR="009D072D" w:rsidRPr="00126113" w:rsidRDefault="009D072D" w:rsidP="00DA09E6">
      <w:pPr>
        <w:pStyle w:val="legclearfix"/>
        <w:tabs>
          <w:tab w:val="left" w:pos="510"/>
          <w:tab w:val="left" w:pos="1077"/>
          <w:tab w:val="left" w:pos="1797"/>
        </w:tabs>
        <w:spacing w:before="0" w:beforeAutospacing="0" w:after="0" w:afterAutospacing="0"/>
        <w:jc w:val="both"/>
        <w:rPr>
          <w:rFonts w:ascii="Arial" w:hAnsi="Arial" w:cs="Arial"/>
        </w:rPr>
      </w:pPr>
    </w:p>
    <w:p w:rsidR="009D072D" w:rsidRPr="00126113" w:rsidRDefault="009D072D" w:rsidP="00DA09E6">
      <w:pPr>
        <w:pStyle w:val="legrhs"/>
        <w:tabs>
          <w:tab w:val="left" w:pos="510"/>
          <w:tab w:val="left" w:pos="1077"/>
          <w:tab w:val="left" w:pos="1797"/>
        </w:tabs>
        <w:spacing w:before="0" w:beforeAutospacing="0" w:after="0" w:afterAutospacing="0"/>
        <w:jc w:val="both"/>
        <w:rPr>
          <w:rFonts w:ascii="Arial" w:hAnsi="Arial" w:cs="Arial"/>
        </w:rPr>
      </w:pPr>
      <w:r w:rsidRPr="00126113">
        <w:rPr>
          <w:rFonts w:ascii="Arial" w:hAnsi="Arial" w:cs="Arial"/>
        </w:rPr>
        <w:tab/>
        <w:t>excluding in each case any exempt income.</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jc w:val="both"/>
        <w:rPr>
          <w:rFonts w:ascii="Arial" w:hAnsi="Arial" w:cs="Arial"/>
          <w:sz w:val="24"/>
          <w:szCs w:val="24"/>
        </w:rPr>
      </w:pPr>
      <w:r w:rsidRPr="00126113">
        <w:rPr>
          <w:rFonts w:ascii="Arial" w:hAnsi="Arial" w:cs="Arial"/>
          <w:sz w:val="24"/>
          <w:szCs w:val="24"/>
        </w:rPr>
        <w:t>14.</w:t>
      </w:r>
      <w:r w:rsidRPr="00126113">
        <w:rPr>
          <w:rFonts w:ascii="Arial" w:hAnsi="Arial" w:cs="Arial"/>
          <w:sz w:val="24"/>
          <w:szCs w:val="24"/>
        </w:rPr>
        <w:tab/>
      </w:r>
      <w:r w:rsidR="009D072D" w:rsidRPr="00126113">
        <w:rPr>
          <w:rFonts w:ascii="Arial" w:hAnsi="Arial" w:cs="Arial"/>
          <w:sz w:val="24"/>
          <w:szCs w:val="24"/>
        </w:rPr>
        <w:t>“Exempt income” is defined in section 8 which provides that:</w:t>
      </w:r>
    </w:p>
    <w:p w:rsidR="009D072D" w:rsidRPr="00126113" w:rsidRDefault="009D072D" w:rsidP="00DA09E6">
      <w:pPr>
        <w:tabs>
          <w:tab w:val="left" w:pos="510"/>
          <w:tab w:val="left" w:pos="1077"/>
          <w:tab w:val="left" w:pos="1797"/>
        </w:tabs>
        <w:spacing w:after="0" w:line="240" w:lineRule="auto"/>
        <w:jc w:val="both"/>
        <w:rPr>
          <w:rFonts w:ascii="Arial" w:eastAsia="Times New Roman" w:hAnsi="Arial" w:cs="Arial"/>
          <w:color w:val="000000"/>
          <w:sz w:val="24"/>
          <w:szCs w:val="24"/>
          <w:lang w:eastAsia="en-GB"/>
        </w:rPr>
      </w:pPr>
    </w:p>
    <w:p w:rsidR="009D072D" w:rsidRPr="00126113" w:rsidRDefault="005E2862" w:rsidP="00DA09E6">
      <w:pPr>
        <w:tabs>
          <w:tab w:val="left" w:pos="510"/>
          <w:tab w:val="left" w:pos="1077"/>
          <w:tab w:val="left" w:pos="1797"/>
        </w:tabs>
        <w:spacing w:after="0" w:line="240" w:lineRule="auto"/>
        <w:ind w:left="510" w:hanging="510"/>
        <w:jc w:val="both"/>
        <w:rPr>
          <w:rFonts w:ascii="Arial" w:hAnsi="Arial" w:cs="Arial"/>
          <w:sz w:val="24"/>
          <w:szCs w:val="24"/>
        </w:rPr>
      </w:pPr>
      <w:r>
        <w:rPr>
          <w:rFonts w:ascii="Arial" w:eastAsia="Times New Roman" w:hAnsi="Arial" w:cs="Arial"/>
          <w:color w:val="000000"/>
          <w:sz w:val="24"/>
          <w:szCs w:val="24"/>
          <w:lang w:eastAsia="en-GB"/>
        </w:rPr>
        <w:tab/>
      </w:r>
      <w:r w:rsidR="009D072D" w:rsidRPr="00126113">
        <w:rPr>
          <w:rFonts w:ascii="Arial" w:eastAsia="Times New Roman" w:hAnsi="Arial" w:cs="Arial"/>
          <w:color w:val="000000"/>
          <w:sz w:val="24"/>
          <w:szCs w:val="24"/>
          <w:lang w:eastAsia="en-GB"/>
        </w:rPr>
        <w:t>For the purposes of the employment income Parts, an amount of employment income within paragraph (a), (b) or (c) of section 7(2) is “exempt income” if, as a result of any exemption in Part 4 or elsewhere, no liability to income tax arises in respect of it as such an amount.</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15.</w:t>
      </w:r>
      <w:r w:rsidRPr="00126113">
        <w:rPr>
          <w:rFonts w:ascii="Arial" w:hAnsi="Arial" w:cs="Arial"/>
          <w:sz w:val="24"/>
          <w:szCs w:val="24"/>
        </w:rPr>
        <w:tab/>
      </w:r>
      <w:r w:rsidR="009D072D" w:rsidRPr="00126113">
        <w:rPr>
          <w:rFonts w:ascii="Arial" w:hAnsi="Arial" w:cs="Arial"/>
          <w:sz w:val="24"/>
          <w:szCs w:val="24"/>
        </w:rPr>
        <w:t>Chapter 1 of Part 3 of the Act consists of section 62 of the ITEPA, which provides:</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Default="005E2862" w:rsidP="00DA09E6">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r>
        <w:rPr>
          <w:rStyle w:val="legds"/>
          <w:rFonts w:ascii="Arial" w:hAnsi="Arial" w:cs="Arial"/>
        </w:rPr>
        <w:tab/>
      </w:r>
      <w:r w:rsidR="009D072D" w:rsidRPr="00126113">
        <w:rPr>
          <w:rStyle w:val="legds"/>
          <w:rFonts w:ascii="Arial" w:hAnsi="Arial" w:cs="Arial"/>
        </w:rPr>
        <w:t>62(1) This section explains what is meant by “earnings” in the employment income Parts.</w:t>
      </w:r>
    </w:p>
    <w:p w:rsidR="005E2862" w:rsidRPr="00126113" w:rsidRDefault="005E2862" w:rsidP="00DA09E6">
      <w:pPr>
        <w:pStyle w:val="legclearfix"/>
        <w:tabs>
          <w:tab w:val="left" w:pos="510"/>
          <w:tab w:val="left" w:pos="1077"/>
          <w:tab w:val="left" w:pos="1797"/>
        </w:tabs>
        <w:spacing w:before="0" w:beforeAutospacing="0" w:after="0" w:afterAutospacing="0"/>
        <w:ind w:left="510" w:hanging="510"/>
        <w:jc w:val="both"/>
        <w:rPr>
          <w:rFonts w:ascii="Arial" w:hAnsi="Arial" w:cs="Arial"/>
        </w:rPr>
      </w:pPr>
    </w:p>
    <w:p w:rsidR="009D072D" w:rsidRDefault="005E2862" w:rsidP="00DA09E6">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r>
        <w:rPr>
          <w:rStyle w:val="legds"/>
          <w:rFonts w:ascii="Arial" w:hAnsi="Arial" w:cs="Arial"/>
        </w:rPr>
        <w:tab/>
      </w:r>
      <w:r w:rsidR="009D072D" w:rsidRPr="00126113">
        <w:rPr>
          <w:rStyle w:val="legds"/>
          <w:rFonts w:ascii="Arial" w:hAnsi="Arial" w:cs="Arial"/>
        </w:rPr>
        <w:t>(2) In those Parts “</w:t>
      </w:r>
      <w:r w:rsidR="009D072D" w:rsidRPr="00126113">
        <w:rPr>
          <w:rStyle w:val="legterm"/>
          <w:rFonts w:ascii="Arial" w:hAnsi="Arial" w:cs="Arial"/>
        </w:rPr>
        <w:t>earnings</w:t>
      </w:r>
      <w:r w:rsidR="009D072D" w:rsidRPr="00126113">
        <w:rPr>
          <w:rStyle w:val="legds"/>
          <w:rFonts w:ascii="Arial" w:hAnsi="Arial" w:cs="Arial"/>
        </w:rPr>
        <w:t>”, in relation to an employment, means—</w:t>
      </w:r>
    </w:p>
    <w:p w:rsidR="005E2862" w:rsidRPr="00126113" w:rsidRDefault="005E2862" w:rsidP="00DA09E6">
      <w:pPr>
        <w:pStyle w:val="legclearfix"/>
        <w:tabs>
          <w:tab w:val="left" w:pos="510"/>
          <w:tab w:val="left" w:pos="1077"/>
          <w:tab w:val="left" w:pos="1797"/>
        </w:tabs>
        <w:spacing w:before="0" w:beforeAutospacing="0" w:after="0" w:afterAutospacing="0"/>
        <w:ind w:left="510" w:hanging="510"/>
        <w:jc w:val="both"/>
        <w:rPr>
          <w:rFonts w:ascii="Arial" w:hAnsi="Arial" w:cs="Arial"/>
        </w:rPr>
      </w:pPr>
    </w:p>
    <w:p w:rsidR="005947FB" w:rsidRDefault="005E2862" w:rsidP="00DA09E6">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(a) any salary, wages or fee,</w:t>
      </w:r>
    </w:p>
    <w:p w:rsidR="005E2862" w:rsidRPr="00126113" w:rsidRDefault="005E2862" w:rsidP="00DA09E6">
      <w:pPr>
        <w:pStyle w:val="legclearfix"/>
        <w:tabs>
          <w:tab w:val="left" w:pos="510"/>
          <w:tab w:val="left" w:pos="1077"/>
          <w:tab w:val="left" w:pos="1797"/>
        </w:tabs>
        <w:spacing w:before="0" w:beforeAutospacing="0" w:after="0" w:afterAutospacing="0"/>
        <w:ind w:left="1077" w:hanging="1077"/>
        <w:jc w:val="both"/>
        <w:rPr>
          <w:rFonts w:ascii="Arial" w:hAnsi="Arial" w:cs="Arial"/>
        </w:rPr>
      </w:pPr>
    </w:p>
    <w:p w:rsidR="009D072D" w:rsidRDefault="005E2862" w:rsidP="00DA09E6">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(b) any gratuity or other profit or incidental benefit of any kind obtained by the employee if it is money or money’s worth, or</w:t>
      </w:r>
    </w:p>
    <w:p w:rsidR="005E2862" w:rsidRPr="00126113" w:rsidRDefault="005E2862" w:rsidP="00DA09E6">
      <w:pPr>
        <w:pStyle w:val="legclearfix"/>
        <w:tabs>
          <w:tab w:val="left" w:pos="510"/>
          <w:tab w:val="left" w:pos="1077"/>
          <w:tab w:val="left" w:pos="1797"/>
        </w:tabs>
        <w:spacing w:before="0" w:beforeAutospacing="0" w:after="0" w:afterAutospacing="0"/>
        <w:ind w:left="1077" w:hanging="1077"/>
        <w:jc w:val="both"/>
        <w:rPr>
          <w:rFonts w:ascii="Arial" w:hAnsi="Arial" w:cs="Arial"/>
        </w:rPr>
      </w:pPr>
    </w:p>
    <w:p w:rsidR="009D072D" w:rsidRPr="00126113" w:rsidRDefault="005E2862" w:rsidP="00DA09E6">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(c) anything else that constitutes an emolument of the employment.</w:t>
      </w:r>
    </w:p>
    <w:p w:rsidR="005947FB" w:rsidRPr="00126113" w:rsidRDefault="005947FB" w:rsidP="00DA09E6">
      <w:pPr>
        <w:pStyle w:val="legclearfix"/>
        <w:tabs>
          <w:tab w:val="left" w:pos="510"/>
          <w:tab w:val="left" w:pos="1077"/>
          <w:tab w:val="left" w:pos="1797"/>
        </w:tabs>
        <w:spacing w:before="0" w:beforeAutospacing="0" w:after="0" w:afterAutospacing="0"/>
        <w:ind w:left="510" w:hanging="510"/>
        <w:jc w:val="both"/>
        <w:rPr>
          <w:rFonts w:ascii="Arial" w:hAnsi="Arial" w:cs="Arial"/>
        </w:rPr>
      </w:pPr>
    </w:p>
    <w:p w:rsidR="009D072D" w:rsidRDefault="005E2862" w:rsidP="00DA09E6">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r>
        <w:rPr>
          <w:rStyle w:val="legds"/>
          <w:rFonts w:ascii="Arial" w:hAnsi="Arial" w:cs="Arial"/>
        </w:rPr>
        <w:tab/>
      </w:r>
      <w:r w:rsidR="009D072D" w:rsidRPr="00126113">
        <w:rPr>
          <w:rStyle w:val="legds"/>
          <w:rFonts w:ascii="Arial" w:hAnsi="Arial" w:cs="Arial"/>
        </w:rPr>
        <w:t>(3) For the purposes of subsection (2) “</w:t>
      </w:r>
      <w:r w:rsidR="009D072D" w:rsidRPr="00126113">
        <w:rPr>
          <w:rStyle w:val="legterm"/>
          <w:rFonts w:ascii="Arial" w:hAnsi="Arial" w:cs="Arial"/>
        </w:rPr>
        <w:t>money’s worth</w:t>
      </w:r>
      <w:r w:rsidR="009D072D" w:rsidRPr="00126113">
        <w:rPr>
          <w:rStyle w:val="legds"/>
          <w:rFonts w:ascii="Arial" w:hAnsi="Arial" w:cs="Arial"/>
        </w:rPr>
        <w:t>” means something that is—</w:t>
      </w:r>
    </w:p>
    <w:p w:rsidR="005E2862" w:rsidRPr="00126113" w:rsidRDefault="005E2862" w:rsidP="00DA09E6">
      <w:pPr>
        <w:pStyle w:val="legclearfix"/>
        <w:tabs>
          <w:tab w:val="left" w:pos="510"/>
          <w:tab w:val="left" w:pos="1077"/>
          <w:tab w:val="left" w:pos="1797"/>
        </w:tabs>
        <w:spacing w:before="0" w:beforeAutospacing="0" w:after="0" w:afterAutospacing="0"/>
        <w:ind w:left="510" w:hanging="510"/>
        <w:jc w:val="both"/>
        <w:rPr>
          <w:rFonts w:ascii="Arial" w:hAnsi="Arial" w:cs="Arial"/>
        </w:rPr>
      </w:pPr>
    </w:p>
    <w:p w:rsidR="009D072D" w:rsidRDefault="005E2862" w:rsidP="00DA09E6">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(a) of direct monetary value to the employee, or</w:t>
      </w:r>
    </w:p>
    <w:p w:rsidR="005E2862" w:rsidRPr="00126113" w:rsidRDefault="005E2862" w:rsidP="00DA09E6">
      <w:pPr>
        <w:pStyle w:val="legclearfix"/>
        <w:tabs>
          <w:tab w:val="left" w:pos="510"/>
          <w:tab w:val="left" w:pos="1077"/>
          <w:tab w:val="left" w:pos="1797"/>
        </w:tabs>
        <w:spacing w:before="0" w:beforeAutospacing="0" w:after="0" w:afterAutospacing="0"/>
        <w:ind w:left="1077" w:hanging="1077"/>
        <w:jc w:val="both"/>
        <w:rPr>
          <w:rFonts w:ascii="Arial" w:hAnsi="Arial" w:cs="Arial"/>
        </w:rPr>
      </w:pPr>
    </w:p>
    <w:p w:rsidR="009D072D" w:rsidRDefault="005E2862" w:rsidP="00DA09E6">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r>
        <w:rPr>
          <w:rStyle w:val="legds"/>
          <w:rFonts w:ascii="Arial" w:hAnsi="Arial" w:cs="Arial"/>
        </w:rPr>
        <w:tab/>
      </w:r>
      <w:r>
        <w:rPr>
          <w:rStyle w:val="legds"/>
          <w:rFonts w:ascii="Arial" w:hAnsi="Arial" w:cs="Arial"/>
        </w:rPr>
        <w:tab/>
      </w:r>
      <w:r w:rsidR="009D072D" w:rsidRPr="00126113">
        <w:rPr>
          <w:rStyle w:val="legds"/>
          <w:rFonts w:ascii="Arial" w:hAnsi="Arial" w:cs="Arial"/>
        </w:rPr>
        <w:t>(b) capable of being converted into money or something of direct monetary value to the employee.</w:t>
      </w:r>
    </w:p>
    <w:p w:rsidR="005E2862" w:rsidRPr="00126113" w:rsidRDefault="005E2862" w:rsidP="00DA09E6">
      <w:pPr>
        <w:pStyle w:val="legclearfix"/>
        <w:tabs>
          <w:tab w:val="left" w:pos="510"/>
          <w:tab w:val="left" w:pos="1077"/>
          <w:tab w:val="left" w:pos="1797"/>
        </w:tabs>
        <w:spacing w:before="0" w:beforeAutospacing="0" w:after="0" w:afterAutospacing="0"/>
        <w:ind w:left="510" w:hanging="510"/>
        <w:jc w:val="both"/>
        <w:rPr>
          <w:rFonts w:ascii="Arial" w:hAnsi="Arial" w:cs="Arial"/>
        </w:rPr>
      </w:pPr>
    </w:p>
    <w:p w:rsidR="009D072D" w:rsidRPr="00126113" w:rsidRDefault="005E2862" w:rsidP="00DA09E6">
      <w:pPr>
        <w:pStyle w:val="legclearfix"/>
        <w:tabs>
          <w:tab w:val="left" w:pos="510"/>
          <w:tab w:val="left" w:pos="1077"/>
          <w:tab w:val="left" w:pos="1797"/>
        </w:tabs>
        <w:spacing w:before="0" w:beforeAutospacing="0" w:after="0" w:afterAutospacing="0"/>
        <w:ind w:left="510" w:hanging="510"/>
        <w:jc w:val="both"/>
        <w:rPr>
          <w:rStyle w:val="legds"/>
          <w:rFonts w:ascii="Arial" w:hAnsi="Arial" w:cs="Arial"/>
          <w:color w:val="000000"/>
        </w:rPr>
      </w:pPr>
      <w:r>
        <w:rPr>
          <w:rStyle w:val="legds"/>
          <w:rFonts w:ascii="Arial" w:hAnsi="Arial" w:cs="Arial"/>
          <w:color w:val="000000"/>
        </w:rPr>
        <w:tab/>
      </w:r>
      <w:r w:rsidR="009D072D" w:rsidRPr="00126113">
        <w:rPr>
          <w:rStyle w:val="legds"/>
          <w:rFonts w:ascii="Arial" w:hAnsi="Arial" w:cs="Arial"/>
          <w:color w:val="000000"/>
        </w:rPr>
        <w:t>(4) Subsection (1) does not affect the operation of statutory provisions that provide for amounts to be treated as earnings (and see section 721(7)).</w:t>
      </w:r>
    </w:p>
    <w:p w:rsidR="009D072D" w:rsidRPr="00126113" w:rsidRDefault="009D072D" w:rsidP="00DA09E6">
      <w:pPr>
        <w:pStyle w:val="legclearfix"/>
        <w:tabs>
          <w:tab w:val="left" w:pos="510"/>
          <w:tab w:val="left" w:pos="1077"/>
          <w:tab w:val="left" w:pos="1797"/>
        </w:tabs>
        <w:spacing w:before="0" w:beforeAutospacing="0" w:after="0" w:afterAutospacing="0"/>
        <w:jc w:val="both"/>
        <w:rPr>
          <w:rFonts w:ascii="Arial" w:hAnsi="Arial" w:cs="Arial"/>
          <w:color w:val="000000"/>
        </w:rPr>
      </w:pPr>
    </w:p>
    <w:p w:rsidR="009D072D" w:rsidRPr="00126113" w:rsidRDefault="005E2862" w:rsidP="00DA09E6">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9D072D" w:rsidRPr="00126113">
        <w:rPr>
          <w:rFonts w:ascii="Arial" w:hAnsi="Arial" w:cs="Arial"/>
          <w:b/>
          <w:sz w:val="24"/>
          <w:szCs w:val="24"/>
        </w:rPr>
        <w:t>The tribunal’s decision</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16.</w:t>
      </w:r>
      <w:r w:rsidRPr="00126113">
        <w:rPr>
          <w:rFonts w:ascii="Arial" w:hAnsi="Arial" w:cs="Arial"/>
          <w:sz w:val="24"/>
          <w:szCs w:val="24"/>
        </w:rPr>
        <w:tab/>
      </w:r>
      <w:r w:rsidR="009D072D" w:rsidRPr="00126113">
        <w:rPr>
          <w:rFonts w:ascii="Arial" w:hAnsi="Arial" w:cs="Arial"/>
          <w:sz w:val="24"/>
          <w:szCs w:val="24"/>
        </w:rPr>
        <w:t xml:space="preserve">The LQM of the tribunal has provided a statement of reasons for the tribunal’s decision. </w:t>
      </w:r>
      <w:r w:rsidR="006B44D6">
        <w:rPr>
          <w:rFonts w:ascii="Arial" w:hAnsi="Arial" w:cs="Arial"/>
          <w:sz w:val="24"/>
          <w:szCs w:val="24"/>
        </w:rPr>
        <w:t xml:space="preserve"> </w:t>
      </w:r>
      <w:r w:rsidR="009D072D" w:rsidRPr="00126113">
        <w:rPr>
          <w:rFonts w:ascii="Arial" w:hAnsi="Arial" w:cs="Arial"/>
          <w:sz w:val="24"/>
          <w:szCs w:val="24"/>
        </w:rPr>
        <w:t>From this I can see that he had a number of documents before him, including the Department’s submission with a copy of the online UC claim form, the system decision, earnings details provided by HMRC, bank statements and the reconsideration request and decision.</w:t>
      </w:r>
      <w:r w:rsidR="006B44D6">
        <w:rPr>
          <w:rFonts w:ascii="Arial" w:hAnsi="Arial" w:cs="Arial"/>
          <w:sz w:val="24"/>
          <w:szCs w:val="24"/>
        </w:rPr>
        <w:t xml:space="preserve"> </w:t>
      </w:r>
      <w:r w:rsidR="009D072D" w:rsidRPr="00126113">
        <w:rPr>
          <w:rFonts w:ascii="Arial" w:hAnsi="Arial" w:cs="Arial"/>
          <w:sz w:val="24"/>
          <w:szCs w:val="24"/>
        </w:rPr>
        <w:t xml:space="preserve"> He further had the directions for listing, letters from the Independent Case Examiner, record of previous proceedings, submissions from the appellant’s representative, a fresh submission from the Department, a reply form, a further e-mail from the appellant’s representative and a further Departmental submission. </w:t>
      </w:r>
      <w:r w:rsidR="006B44D6">
        <w:rPr>
          <w:rFonts w:ascii="Arial" w:hAnsi="Arial" w:cs="Arial"/>
          <w:sz w:val="24"/>
          <w:szCs w:val="24"/>
        </w:rPr>
        <w:t xml:space="preserve"> </w:t>
      </w:r>
      <w:r w:rsidR="009D072D" w:rsidRPr="00126113">
        <w:rPr>
          <w:rFonts w:ascii="Arial" w:hAnsi="Arial" w:cs="Arial"/>
          <w:sz w:val="24"/>
          <w:szCs w:val="24"/>
        </w:rPr>
        <w:t xml:space="preserve">The appellant attended the hearing and gave oral evidence, represented by Mr MacManus. </w:t>
      </w:r>
      <w:r w:rsidR="006B44D6">
        <w:rPr>
          <w:rFonts w:ascii="Arial" w:hAnsi="Arial" w:cs="Arial"/>
          <w:sz w:val="24"/>
          <w:szCs w:val="24"/>
        </w:rPr>
        <w:t xml:space="preserve"> </w:t>
      </w:r>
      <w:r w:rsidR="009D072D" w:rsidRPr="00126113">
        <w:rPr>
          <w:rFonts w:ascii="Arial" w:hAnsi="Arial" w:cs="Arial"/>
          <w:sz w:val="24"/>
          <w:szCs w:val="24"/>
        </w:rPr>
        <w:t xml:space="preserve">The Department </w:t>
      </w:r>
      <w:r w:rsidR="006B44D6">
        <w:rPr>
          <w:rFonts w:ascii="Arial" w:hAnsi="Arial" w:cs="Arial"/>
          <w:sz w:val="24"/>
          <w:szCs w:val="24"/>
        </w:rPr>
        <w:t>was represented by Mr Best.</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A4038A"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17.</w:t>
      </w:r>
      <w:r w:rsidRPr="00126113">
        <w:rPr>
          <w:rFonts w:ascii="Arial" w:hAnsi="Arial" w:cs="Arial"/>
          <w:sz w:val="24"/>
          <w:szCs w:val="24"/>
        </w:rPr>
        <w:tab/>
      </w:r>
      <w:r w:rsidR="009D072D" w:rsidRPr="00126113">
        <w:rPr>
          <w:rFonts w:ascii="Arial" w:hAnsi="Arial" w:cs="Arial"/>
          <w:sz w:val="24"/>
          <w:szCs w:val="24"/>
        </w:rPr>
        <w:t>The tribunal found that the appellant’s employment had been terminated on 2</w:t>
      </w:r>
      <w:r w:rsidRPr="00126113">
        <w:rPr>
          <w:rFonts w:ascii="Arial" w:hAnsi="Arial" w:cs="Arial"/>
          <w:sz w:val="24"/>
          <w:szCs w:val="24"/>
        </w:rPr>
        <w:t>2</w:t>
      </w:r>
      <w:r w:rsidR="009D072D" w:rsidRPr="00126113">
        <w:rPr>
          <w:rFonts w:ascii="Arial" w:hAnsi="Arial" w:cs="Arial"/>
          <w:sz w:val="24"/>
          <w:szCs w:val="24"/>
        </w:rPr>
        <w:t xml:space="preserve"> January 2018 by dismissal.</w:t>
      </w:r>
      <w:r w:rsidR="006B44D6">
        <w:rPr>
          <w:rFonts w:ascii="Arial" w:hAnsi="Arial" w:cs="Arial"/>
          <w:sz w:val="24"/>
          <w:szCs w:val="24"/>
        </w:rPr>
        <w:t xml:space="preserve"> </w:t>
      </w:r>
      <w:r w:rsidR="009D072D" w:rsidRPr="00126113">
        <w:rPr>
          <w:rFonts w:ascii="Arial" w:hAnsi="Arial" w:cs="Arial"/>
          <w:sz w:val="24"/>
          <w:szCs w:val="24"/>
        </w:rPr>
        <w:t xml:space="preserve"> It noted that the appellant had received earnings of £475.49 in the relevant assessment period of 19 February to 18 March 2018. </w:t>
      </w:r>
      <w:r w:rsidR="006B44D6">
        <w:rPr>
          <w:rFonts w:ascii="Arial" w:hAnsi="Arial" w:cs="Arial"/>
          <w:sz w:val="24"/>
          <w:szCs w:val="24"/>
        </w:rPr>
        <w:t xml:space="preserve"> </w:t>
      </w:r>
      <w:r w:rsidR="009D072D" w:rsidRPr="00126113">
        <w:rPr>
          <w:rFonts w:ascii="Arial" w:hAnsi="Arial" w:cs="Arial"/>
          <w:sz w:val="24"/>
          <w:szCs w:val="24"/>
        </w:rPr>
        <w:t xml:space="preserve">This consisted of three separate payments, made on 2 </w:t>
      </w:r>
      <w:r w:rsidR="00AF7C3C" w:rsidRPr="00126113">
        <w:rPr>
          <w:rFonts w:ascii="Arial" w:hAnsi="Arial" w:cs="Arial"/>
          <w:sz w:val="24"/>
          <w:szCs w:val="24"/>
        </w:rPr>
        <w:t>March</w:t>
      </w:r>
      <w:r w:rsidR="009D072D" w:rsidRPr="00126113">
        <w:rPr>
          <w:rFonts w:ascii="Arial" w:hAnsi="Arial" w:cs="Arial"/>
          <w:sz w:val="24"/>
          <w:szCs w:val="24"/>
        </w:rPr>
        <w:t xml:space="preserve">, 7 March and 16 March 2018 respectively. </w:t>
      </w:r>
      <w:r w:rsidR="006B44D6">
        <w:rPr>
          <w:rFonts w:ascii="Arial" w:hAnsi="Arial" w:cs="Arial"/>
          <w:sz w:val="24"/>
          <w:szCs w:val="24"/>
        </w:rPr>
        <w:t xml:space="preserve"> </w:t>
      </w:r>
      <w:r w:rsidR="009D072D" w:rsidRPr="00126113">
        <w:rPr>
          <w:rFonts w:ascii="Arial" w:hAnsi="Arial" w:cs="Arial"/>
          <w:sz w:val="24"/>
          <w:szCs w:val="24"/>
        </w:rPr>
        <w:t xml:space="preserve">The net payment of £222.84, made on 2 March 2018, represented a gross payment of £300 of pay in lieu of notice net of tax and employee’s national insurance. </w:t>
      </w:r>
      <w:r w:rsidR="006B44D6">
        <w:rPr>
          <w:rFonts w:ascii="Arial" w:hAnsi="Arial" w:cs="Arial"/>
          <w:sz w:val="24"/>
          <w:szCs w:val="24"/>
        </w:rPr>
        <w:t xml:space="preserve"> </w:t>
      </w:r>
      <w:r w:rsidR="009D072D" w:rsidRPr="00126113">
        <w:rPr>
          <w:rFonts w:ascii="Arial" w:hAnsi="Arial" w:cs="Arial"/>
          <w:sz w:val="24"/>
          <w:szCs w:val="24"/>
        </w:rPr>
        <w:t>The net payment of £18.84, made on 16 March 2018, represented a gross payment of £343.65 of holiday termination pay, net of £233.81 owed to the employer, tax and employee’s national insurance.</w:t>
      </w:r>
      <w:r w:rsidR="006B44D6">
        <w:rPr>
          <w:rFonts w:ascii="Arial" w:hAnsi="Arial" w:cs="Arial"/>
          <w:sz w:val="24"/>
          <w:szCs w:val="24"/>
        </w:rPr>
        <w:t xml:space="preserve"> </w:t>
      </w:r>
      <w:r w:rsidR="009D072D" w:rsidRPr="00126113">
        <w:rPr>
          <w:rFonts w:ascii="Arial" w:hAnsi="Arial" w:cs="Arial"/>
          <w:sz w:val="24"/>
          <w:szCs w:val="24"/>
        </w:rPr>
        <w:t xml:space="preserve"> The tribunal did not have the payslip for the third payment, which I believe was a payment of £233.81 wages, net of tax and</w:t>
      </w:r>
      <w:r w:rsidR="006B44D6">
        <w:rPr>
          <w:rFonts w:ascii="Arial" w:hAnsi="Arial" w:cs="Arial"/>
          <w:sz w:val="24"/>
          <w:szCs w:val="24"/>
        </w:rPr>
        <w:t xml:space="preserve"> employee’s national insurance.</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18.</w:t>
      </w:r>
      <w:r w:rsidRPr="00126113">
        <w:rPr>
          <w:rFonts w:ascii="Arial" w:hAnsi="Arial" w:cs="Arial"/>
          <w:sz w:val="24"/>
          <w:szCs w:val="24"/>
        </w:rPr>
        <w:tab/>
      </w:r>
      <w:r w:rsidR="009D072D" w:rsidRPr="00126113">
        <w:rPr>
          <w:rFonts w:ascii="Arial" w:hAnsi="Arial" w:cs="Arial"/>
          <w:sz w:val="24"/>
          <w:szCs w:val="24"/>
        </w:rPr>
        <w:t>The tribunal rejected the argument that these sums should have been paid on 27 January 2018 and attributed to that date, finding that the date of actual payment was what was relevant.</w:t>
      </w:r>
      <w:r w:rsidR="006B44D6">
        <w:rPr>
          <w:rFonts w:ascii="Arial" w:hAnsi="Arial" w:cs="Arial"/>
          <w:sz w:val="24"/>
          <w:szCs w:val="24"/>
        </w:rPr>
        <w:t xml:space="preserve"> </w:t>
      </w:r>
      <w:r w:rsidR="009D072D" w:rsidRPr="00126113">
        <w:rPr>
          <w:rFonts w:ascii="Arial" w:hAnsi="Arial" w:cs="Arial"/>
          <w:sz w:val="24"/>
          <w:szCs w:val="24"/>
        </w:rPr>
        <w:t xml:space="preserve"> It further addressed and rejected the argument that payments were termination of employment payments and should not be taken into account – in particular distinguishing them from redundancy payments.</w:t>
      </w:r>
      <w:r w:rsidR="006B44D6">
        <w:rPr>
          <w:rFonts w:ascii="Arial" w:hAnsi="Arial" w:cs="Arial"/>
          <w:sz w:val="24"/>
          <w:szCs w:val="24"/>
        </w:rPr>
        <w:t xml:space="preserve"> </w:t>
      </w:r>
      <w:r w:rsidR="009D072D" w:rsidRPr="00126113">
        <w:rPr>
          <w:rFonts w:ascii="Arial" w:hAnsi="Arial" w:cs="Arial"/>
          <w:sz w:val="24"/>
          <w:szCs w:val="24"/>
        </w:rPr>
        <w:t xml:space="preserve"> It further noted that tax and national insurance contributions were deducted from the payments, indicating that they were not payments that were exempt from taxation. </w:t>
      </w:r>
      <w:r w:rsidR="006B44D6">
        <w:rPr>
          <w:rFonts w:ascii="Arial" w:hAnsi="Arial" w:cs="Arial"/>
          <w:sz w:val="24"/>
          <w:szCs w:val="24"/>
        </w:rPr>
        <w:t xml:space="preserve"> </w:t>
      </w:r>
      <w:r w:rsidR="009D072D" w:rsidRPr="00126113">
        <w:rPr>
          <w:rFonts w:ascii="Arial" w:hAnsi="Arial" w:cs="Arial"/>
          <w:sz w:val="24"/>
          <w:szCs w:val="24"/>
        </w:rPr>
        <w:t>It dis</w:t>
      </w:r>
      <w:r w:rsidR="006B44D6">
        <w:rPr>
          <w:rFonts w:ascii="Arial" w:hAnsi="Arial" w:cs="Arial"/>
          <w:sz w:val="24"/>
          <w:szCs w:val="24"/>
        </w:rPr>
        <w:t>allowed the appeal accordingly.</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DB352C" w:rsidP="00DA09E6">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9D072D" w:rsidRPr="00126113">
        <w:rPr>
          <w:rFonts w:ascii="Arial" w:hAnsi="Arial" w:cs="Arial"/>
          <w:b/>
          <w:sz w:val="24"/>
          <w:szCs w:val="24"/>
        </w:rPr>
        <w:t>Submissions and hearing</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19.</w:t>
      </w:r>
      <w:r w:rsidRPr="00126113">
        <w:rPr>
          <w:rFonts w:ascii="Arial" w:hAnsi="Arial" w:cs="Arial"/>
          <w:sz w:val="24"/>
          <w:szCs w:val="24"/>
        </w:rPr>
        <w:tab/>
      </w:r>
      <w:r w:rsidR="009D072D" w:rsidRPr="00126113">
        <w:rPr>
          <w:rFonts w:ascii="Arial" w:hAnsi="Arial" w:cs="Arial"/>
          <w:sz w:val="24"/>
          <w:szCs w:val="24"/>
        </w:rPr>
        <w:t xml:space="preserve">I held an oral hearing of the application. </w:t>
      </w:r>
      <w:r w:rsidR="00DB352C">
        <w:rPr>
          <w:rFonts w:ascii="Arial" w:hAnsi="Arial" w:cs="Arial"/>
          <w:sz w:val="24"/>
          <w:szCs w:val="24"/>
        </w:rPr>
        <w:t xml:space="preserve"> </w:t>
      </w:r>
      <w:r w:rsidR="009D072D" w:rsidRPr="00126113">
        <w:rPr>
          <w:rFonts w:ascii="Arial" w:hAnsi="Arial" w:cs="Arial"/>
          <w:sz w:val="24"/>
          <w:szCs w:val="24"/>
        </w:rPr>
        <w:t xml:space="preserve">Mr MacManus appeared for the appellant and Mr Finnerty of DMS appeared for the Department. </w:t>
      </w:r>
      <w:r w:rsidR="00DB352C">
        <w:rPr>
          <w:rFonts w:ascii="Arial" w:hAnsi="Arial" w:cs="Arial"/>
          <w:sz w:val="24"/>
          <w:szCs w:val="24"/>
        </w:rPr>
        <w:t xml:space="preserve"> </w:t>
      </w:r>
      <w:r w:rsidR="009D072D" w:rsidRPr="00126113">
        <w:rPr>
          <w:rFonts w:ascii="Arial" w:hAnsi="Arial" w:cs="Arial"/>
          <w:sz w:val="24"/>
          <w:szCs w:val="24"/>
        </w:rPr>
        <w:t>I am grateful to each of the repres</w:t>
      </w:r>
      <w:r w:rsidR="00DB352C">
        <w:rPr>
          <w:rFonts w:ascii="Arial" w:hAnsi="Arial" w:cs="Arial"/>
          <w:sz w:val="24"/>
          <w:szCs w:val="24"/>
        </w:rPr>
        <w:t>entatives for their assistance.</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20.</w:t>
      </w:r>
      <w:r w:rsidRPr="00126113">
        <w:rPr>
          <w:rFonts w:ascii="Arial" w:hAnsi="Arial" w:cs="Arial"/>
          <w:sz w:val="24"/>
          <w:szCs w:val="24"/>
        </w:rPr>
        <w:tab/>
      </w:r>
      <w:r w:rsidR="009D072D" w:rsidRPr="00126113">
        <w:rPr>
          <w:rFonts w:ascii="Arial" w:hAnsi="Arial" w:cs="Arial"/>
          <w:sz w:val="24"/>
          <w:szCs w:val="24"/>
        </w:rPr>
        <w:t xml:space="preserve">Mr MacManus for the appellant relied upon his previous written submissions and expanded on these. </w:t>
      </w:r>
      <w:r w:rsidR="00DB352C">
        <w:rPr>
          <w:rFonts w:ascii="Arial" w:hAnsi="Arial" w:cs="Arial"/>
          <w:sz w:val="24"/>
          <w:szCs w:val="24"/>
        </w:rPr>
        <w:t xml:space="preserve"> </w:t>
      </w:r>
      <w:r w:rsidR="009D072D" w:rsidRPr="00126113">
        <w:rPr>
          <w:rFonts w:ascii="Arial" w:hAnsi="Arial" w:cs="Arial"/>
          <w:sz w:val="24"/>
          <w:szCs w:val="24"/>
        </w:rPr>
        <w:t xml:space="preserve">He submitted that the appellant’s last date of employment was 22 January 2018, as evidenced by his P45. </w:t>
      </w:r>
      <w:r w:rsidR="00DB352C">
        <w:rPr>
          <w:rFonts w:ascii="Arial" w:hAnsi="Arial" w:cs="Arial"/>
          <w:sz w:val="24"/>
          <w:szCs w:val="24"/>
        </w:rPr>
        <w:t xml:space="preserve"> </w:t>
      </w:r>
      <w:r w:rsidR="009D072D" w:rsidRPr="00126113">
        <w:rPr>
          <w:rFonts w:ascii="Arial" w:hAnsi="Arial" w:cs="Arial"/>
          <w:sz w:val="24"/>
          <w:szCs w:val="24"/>
        </w:rPr>
        <w:t xml:space="preserve">He had appealed against dismissal from employment and had claimed UC on 19 February 2018 only after the internal workplace appeal process had been exhausted. </w:t>
      </w:r>
      <w:r w:rsidR="00DB352C">
        <w:rPr>
          <w:rFonts w:ascii="Arial" w:hAnsi="Arial" w:cs="Arial"/>
          <w:sz w:val="24"/>
          <w:szCs w:val="24"/>
        </w:rPr>
        <w:t xml:space="preserve"> </w:t>
      </w:r>
      <w:r w:rsidR="009D072D" w:rsidRPr="00126113">
        <w:rPr>
          <w:rFonts w:ascii="Arial" w:hAnsi="Arial" w:cs="Arial"/>
          <w:sz w:val="24"/>
          <w:szCs w:val="24"/>
        </w:rPr>
        <w:t xml:space="preserve">He received payment totalling £475.49 in March 2018, consisting of pay, pay in lieu of notice and holiday pay owed to him. </w:t>
      </w:r>
      <w:r w:rsidR="00DB352C">
        <w:rPr>
          <w:rFonts w:ascii="Arial" w:hAnsi="Arial" w:cs="Arial"/>
          <w:sz w:val="24"/>
          <w:szCs w:val="24"/>
        </w:rPr>
        <w:t xml:space="preserve"> </w:t>
      </w:r>
      <w:r w:rsidR="009D072D" w:rsidRPr="00126113">
        <w:rPr>
          <w:rFonts w:ascii="Arial" w:hAnsi="Arial" w:cs="Arial"/>
          <w:sz w:val="24"/>
          <w:szCs w:val="24"/>
        </w:rPr>
        <w:t xml:space="preserve">Mr MacManus submitted that it should have been paid on the date of termination. </w:t>
      </w:r>
      <w:r w:rsidR="00DB352C">
        <w:rPr>
          <w:rFonts w:ascii="Arial" w:hAnsi="Arial" w:cs="Arial"/>
          <w:sz w:val="24"/>
          <w:szCs w:val="24"/>
        </w:rPr>
        <w:t xml:space="preserve"> </w:t>
      </w:r>
      <w:r w:rsidR="009D072D" w:rsidRPr="00126113">
        <w:rPr>
          <w:rFonts w:ascii="Arial" w:hAnsi="Arial" w:cs="Arial"/>
          <w:sz w:val="24"/>
          <w:szCs w:val="24"/>
        </w:rPr>
        <w:t xml:space="preserve">He referred to UC Guidance at H3108, which set out a list of payments excluded as earnings for UC purposes which included termination of employment payments. </w:t>
      </w:r>
      <w:r w:rsidR="00DB352C">
        <w:rPr>
          <w:rFonts w:ascii="Arial" w:hAnsi="Arial" w:cs="Arial"/>
          <w:sz w:val="24"/>
          <w:szCs w:val="24"/>
        </w:rPr>
        <w:t xml:space="preserve"> </w:t>
      </w:r>
      <w:r w:rsidR="009D072D" w:rsidRPr="00126113">
        <w:rPr>
          <w:rFonts w:ascii="Arial" w:hAnsi="Arial" w:cs="Arial"/>
          <w:sz w:val="24"/>
          <w:szCs w:val="24"/>
        </w:rPr>
        <w:t>He submitted that by finding that the £475.49 was not a termination of employment payment, the tribunal had taken an unduly narrow interpretation of that expression which, he submitted, was undefined.</w:t>
      </w:r>
      <w:r w:rsidR="00DB352C">
        <w:rPr>
          <w:rFonts w:ascii="Arial" w:hAnsi="Arial" w:cs="Arial"/>
          <w:sz w:val="24"/>
          <w:szCs w:val="24"/>
        </w:rPr>
        <w:t xml:space="preserve"> </w:t>
      </w:r>
      <w:r w:rsidR="009D072D" w:rsidRPr="00126113">
        <w:rPr>
          <w:rFonts w:ascii="Arial" w:hAnsi="Arial" w:cs="Arial"/>
          <w:sz w:val="24"/>
          <w:szCs w:val="24"/>
        </w:rPr>
        <w:t xml:space="preserve"> He submitted that the tribunal had distinguished between redundancy and dis</w:t>
      </w:r>
      <w:r w:rsidR="00DB352C">
        <w:rPr>
          <w:rFonts w:ascii="Arial" w:hAnsi="Arial" w:cs="Arial"/>
          <w:sz w:val="24"/>
          <w:szCs w:val="24"/>
        </w:rPr>
        <w:t xml:space="preserve">missal termination without any </w:t>
      </w:r>
      <w:r w:rsidR="009D072D" w:rsidRPr="00126113">
        <w:rPr>
          <w:rFonts w:ascii="Arial" w:hAnsi="Arial" w:cs="Arial"/>
          <w:sz w:val="24"/>
          <w:szCs w:val="24"/>
        </w:rPr>
        <w:t>basis for</w:t>
      </w:r>
      <w:r w:rsidR="00DB352C">
        <w:rPr>
          <w:rFonts w:ascii="Arial" w:hAnsi="Arial" w:cs="Arial"/>
          <w:sz w:val="24"/>
          <w:szCs w:val="24"/>
        </w:rPr>
        <w:t xml:space="preserve"> doing so and had erred in law.</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21.</w:t>
      </w:r>
      <w:r w:rsidRPr="00126113">
        <w:rPr>
          <w:rFonts w:ascii="Arial" w:hAnsi="Arial" w:cs="Arial"/>
          <w:sz w:val="24"/>
          <w:szCs w:val="24"/>
        </w:rPr>
        <w:tab/>
      </w:r>
      <w:r w:rsidR="009D072D" w:rsidRPr="00126113">
        <w:rPr>
          <w:rFonts w:ascii="Arial" w:hAnsi="Arial" w:cs="Arial"/>
          <w:sz w:val="24"/>
          <w:szCs w:val="24"/>
        </w:rPr>
        <w:t xml:space="preserve">Mr Finnerty for the Department submitted that the appellant had received three payments from his employer in the relevant assessment period. </w:t>
      </w:r>
      <w:r w:rsidR="00DB352C">
        <w:rPr>
          <w:rFonts w:ascii="Arial" w:hAnsi="Arial" w:cs="Arial"/>
          <w:sz w:val="24"/>
          <w:szCs w:val="24"/>
        </w:rPr>
        <w:t xml:space="preserve"> </w:t>
      </w:r>
      <w:r w:rsidR="009D072D" w:rsidRPr="00126113">
        <w:rPr>
          <w:rFonts w:ascii="Arial" w:hAnsi="Arial" w:cs="Arial"/>
          <w:sz w:val="24"/>
          <w:szCs w:val="24"/>
        </w:rPr>
        <w:t xml:space="preserve">He submitted that by regulation 53 of the UC Regulations, earned income had to be based on actual payments received in an assessment period and, while acknowledging that they related to employment that had ceased on 22 January 2018, there was no provision in the UC Regulations to allow them to be attributed to a different assessment period. </w:t>
      </w:r>
      <w:r w:rsidR="00DB352C">
        <w:rPr>
          <w:rFonts w:ascii="Arial" w:hAnsi="Arial" w:cs="Arial"/>
          <w:sz w:val="24"/>
          <w:szCs w:val="24"/>
        </w:rPr>
        <w:t xml:space="preserve"> </w:t>
      </w:r>
      <w:r w:rsidR="009D072D" w:rsidRPr="00126113">
        <w:rPr>
          <w:rFonts w:ascii="Arial" w:hAnsi="Arial" w:cs="Arial"/>
          <w:sz w:val="24"/>
          <w:szCs w:val="24"/>
        </w:rPr>
        <w:t xml:space="preserve">He noted the decision of the Court of Appeal in England and Wales in </w:t>
      </w:r>
      <w:r w:rsidR="009D072D" w:rsidRPr="00126113">
        <w:rPr>
          <w:rFonts w:ascii="Arial" w:hAnsi="Arial" w:cs="Arial"/>
          <w:i/>
          <w:sz w:val="24"/>
          <w:szCs w:val="24"/>
        </w:rPr>
        <w:t>Secretary of State for Work and Pensions v Johnson</w:t>
      </w:r>
      <w:r w:rsidR="009D072D" w:rsidRPr="00126113">
        <w:rPr>
          <w:rFonts w:ascii="Arial" w:hAnsi="Arial" w:cs="Arial"/>
          <w:sz w:val="24"/>
          <w:szCs w:val="24"/>
        </w:rPr>
        <w:t xml:space="preserve"> [2020] Civ 778, overturn</w:t>
      </w:r>
      <w:r w:rsidR="00DB352C">
        <w:rPr>
          <w:rFonts w:ascii="Arial" w:hAnsi="Arial" w:cs="Arial"/>
          <w:sz w:val="24"/>
          <w:szCs w:val="24"/>
        </w:rPr>
        <w:t>ing the Divisional Court below.</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22.</w:t>
      </w:r>
      <w:r w:rsidRPr="00126113">
        <w:rPr>
          <w:rFonts w:ascii="Arial" w:hAnsi="Arial" w:cs="Arial"/>
          <w:sz w:val="24"/>
          <w:szCs w:val="24"/>
        </w:rPr>
        <w:tab/>
      </w:r>
      <w:r w:rsidR="009D072D" w:rsidRPr="00126113">
        <w:rPr>
          <w:rFonts w:ascii="Arial" w:hAnsi="Arial" w:cs="Arial"/>
          <w:sz w:val="24"/>
          <w:szCs w:val="24"/>
        </w:rPr>
        <w:t xml:space="preserve">He submitted that the appellant was wrong to assert that there was no definition of termination of employment payments. </w:t>
      </w:r>
      <w:r w:rsidR="00DB352C">
        <w:rPr>
          <w:rFonts w:ascii="Arial" w:hAnsi="Arial" w:cs="Arial"/>
          <w:sz w:val="24"/>
          <w:szCs w:val="24"/>
        </w:rPr>
        <w:t xml:space="preserve"> </w:t>
      </w:r>
      <w:r w:rsidR="009D072D" w:rsidRPr="00126113">
        <w:rPr>
          <w:rFonts w:ascii="Arial" w:hAnsi="Arial" w:cs="Arial"/>
          <w:sz w:val="24"/>
          <w:szCs w:val="24"/>
        </w:rPr>
        <w:t xml:space="preserve">He submitted that the guidance referred to regulation 55(2)(b) of the UC Regulations, which in turn refer to Part 4 of the ITEPA. </w:t>
      </w:r>
      <w:r w:rsidR="00DB352C">
        <w:rPr>
          <w:rFonts w:ascii="Arial" w:hAnsi="Arial" w:cs="Arial"/>
          <w:sz w:val="24"/>
          <w:szCs w:val="24"/>
        </w:rPr>
        <w:t xml:space="preserve"> </w:t>
      </w:r>
      <w:r w:rsidR="009D072D" w:rsidRPr="00126113">
        <w:rPr>
          <w:rFonts w:ascii="Arial" w:hAnsi="Arial" w:cs="Arial"/>
          <w:sz w:val="24"/>
          <w:szCs w:val="24"/>
        </w:rPr>
        <w:t xml:space="preserve">He referred to Chapter 10 of Part 4 of the ITEPA and submitted that it provided for redundancy payments and outplacement benefits. </w:t>
      </w:r>
      <w:r w:rsidR="00DB352C">
        <w:rPr>
          <w:rFonts w:ascii="Arial" w:hAnsi="Arial" w:cs="Arial"/>
          <w:sz w:val="24"/>
          <w:szCs w:val="24"/>
        </w:rPr>
        <w:t xml:space="preserve"> </w:t>
      </w:r>
      <w:r w:rsidR="009D072D" w:rsidRPr="00126113">
        <w:rPr>
          <w:rFonts w:ascii="Arial" w:hAnsi="Arial" w:cs="Arial"/>
          <w:sz w:val="24"/>
          <w:szCs w:val="24"/>
        </w:rPr>
        <w:t>He submitted that payment of pay in lieu of notice and holiday pay in the present case did not equate to redundancy payments in any way.</w:t>
      </w:r>
      <w:r w:rsidR="00DB352C">
        <w:rPr>
          <w:rFonts w:ascii="Arial" w:hAnsi="Arial" w:cs="Arial"/>
          <w:sz w:val="24"/>
          <w:szCs w:val="24"/>
        </w:rPr>
        <w:t xml:space="preserve"> </w:t>
      </w:r>
      <w:r w:rsidR="009D072D" w:rsidRPr="00126113">
        <w:rPr>
          <w:rFonts w:ascii="Arial" w:hAnsi="Arial" w:cs="Arial"/>
          <w:sz w:val="24"/>
          <w:szCs w:val="24"/>
        </w:rPr>
        <w:t xml:space="preserve"> Mr Finnerty further relied upon the Upper Tribunal decision of Judge Jacobs in </w:t>
      </w:r>
      <w:r w:rsidR="009D072D" w:rsidRPr="00126113">
        <w:rPr>
          <w:rFonts w:ascii="Arial" w:hAnsi="Arial" w:cs="Arial"/>
          <w:i/>
          <w:sz w:val="24"/>
          <w:szCs w:val="24"/>
        </w:rPr>
        <w:t>PT v SSWP</w:t>
      </w:r>
      <w:r w:rsidR="009D072D" w:rsidRPr="00126113">
        <w:rPr>
          <w:rFonts w:ascii="Arial" w:hAnsi="Arial" w:cs="Arial"/>
          <w:sz w:val="24"/>
          <w:szCs w:val="24"/>
        </w:rPr>
        <w:t xml:space="preserve"> [201</w:t>
      </w:r>
      <w:r w:rsidR="00DB352C">
        <w:rPr>
          <w:rFonts w:ascii="Arial" w:hAnsi="Arial" w:cs="Arial"/>
          <w:sz w:val="24"/>
          <w:szCs w:val="24"/>
        </w:rPr>
        <w:t>5] UKUT 696.</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23.</w:t>
      </w:r>
      <w:r w:rsidRPr="00126113">
        <w:rPr>
          <w:rFonts w:ascii="Arial" w:hAnsi="Arial" w:cs="Arial"/>
          <w:sz w:val="24"/>
          <w:szCs w:val="24"/>
        </w:rPr>
        <w:tab/>
      </w:r>
      <w:r w:rsidR="009D072D" w:rsidRPr="00126113">
        <w:rPr>
          <w:rFonts w:ascii="Arial" w:hAnsi="Arial" w:cs="Arial"/>
          <w:sz w:val="24"/>
          <w:szCs w:val="24"/>
        </w:rPr>
        <w:t>At the conclusion of the hearing, the parties indicated that they were content with me, if I were to grant leave to appeal, proceeding to treat and determine the application as if it were the appeal.</w:t>
      </w:r>
      <w:r w:rsidR="00DB352C">
        <w:rPr>
          <w:rFonts w:ascii="Arial" w:hAnsi="Arial" w:cs="Arial"/>
          <w:sz w:val="24"/>
          <w:szCs w:val="24"/>
        </w:rPr>
        <w:t xml:space="preserve"> </w:t>
      </w:r>
      <w:r w:rsidR="009D072D" w:rsidRPr="00126113">
        <w:rPr>
          <w:rFonts w:ascii="Arial" w:hAnsi="Arial" w:cs="Arial"/>
          <w:sz w:val="24"/>
          <w:szCs w:val="24"/>
        </w:rPr>
        <w:t xml:space="preserve"> Each indicated that, if was minded to set aside the decision of the appeal tribunal, I should determine the appeal myself rather than remit the case t</w:t>
      </w:r>
      <w:r w:rsidR="00DB352C">
        <w:rPr>
          <w:rFonts w:ascii="Arial" w:hAnsi="Arial" w:cs="Arial"/>
          <w:sz w:val="24"/>
          <w:szCs w:val="24"/>
        </w:rPr>
        <w:t>o a newly constituted tribunal.</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DB352C" w:rsidP="00DA09E6">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9D072D" w:rsidRPr="00126113">
        <w:rPr>
          <w:rFonts w:ascii="Arial" w:hAnsi="Arial" w:cs="Arial"/>
          <w:b/>
          <w:sz w:val="24"/>
          <w:szCs w:val="24"/>
        </w:rPr>
        <w:t>Assessment</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24.</w:t>
      </w:r>
      <w:r w:rsidRPr="00126113">
        <w:rPr>
          <w:rFonts w:ascii="Arial" w:hAnsi="Arial" w:cs="Arial"/>
          <w:sz w:val="24"/>
          <w:szCs w:val="24"/>
        </w:rPr>
        <w:tab/>
      </w:r>
      <w:r w:rsidR="009D072D" w:rsidRPr="00126113">
        <w:rPr>
          <w:rFonts w:ascii="Arial" w:hAnsi="Arial" w:cs="Arial"/>
          <w:sz w:val="24"/>
          <w:szCs w:val="24"/>
        </w:rPr>
        <w:t xml:space="preserve">An appeal lies to a Commissioner from any decision of an appeal tribunal on the ground that the decision of the tribunal was erroneous in point of law. </w:t>
      </w:r>
      <w:r w:rsidR="00DB352C">
        <w:rPr>
          <w:rFonts w:ascii="Arial" w:hAnsi="Arial" w:cs="Arial"/>
          <w:sz w:val="24"/>
          <w:szCs w:val="24"/>
        </w:rPr>
        <w:t xml:space="preserve"> </w:t>
      </w:r>
      <w:r w:rsidR="009D072D" w:rsidRPr="00126113">
        <w:rPr>
          <w:rFonts w:ascii="Arial" w:hAnsi="Arial" w:cs="Arial"/>
          <w:sz w:val="24"/>
          <w:szCs w:val="24"/>
        </w:rPr>
        <w:t>However, the party who wishes to bring an appeal mus</w:t>
      </w:r>
      <w:r w:rsidR="00DB352C">
        <w:rPr>
          <w:rFonts w:ascii="Arial" w:hAnsi="Arial" w:cs="Arial"/>
          <w:sz w:val="24"/>
          <w:szCs w:val="24"/>
        </w:rPr>
        <w:t>t first obtain leave to appeal.</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25.</w:t>
      </w:r>
      <w:r w:rsidRPr="00126113">
        <w:rPr>
          <w:rFonts w:ascii="Arial" w:hAnsi="Arial" w:cs="Arial"/>
          <w:sz w:val="24"/>
          <w:szCs w:val="24"/>
        </w:rPr>
        <w:tab/>
      </w:r>
      <w:r w:rsidR="009D072D" w:rsidRPr="00126113">
        <w:rPr>
          <w:rFonts w:ascii="Arial" w:hAnsi="Arial" w:cs="Arial"/>
          <w:sz w:val="24"/>
          <w:szCs w:val="24"/>
        </w:rPr>
        <w:t xml:space="preserve">Leave to appeal is a filter mechanism. </w:t>
      </w:r>
      <w:r w:rsidR="00DB352C">
        <w:rPr>
          <w:rFonts w:ascii="Arial" w:hAnsi="Arial" w:cs="Arial"/>
          <w:sz w:val="24"/>
          <w:szCs w:val="24"/>
        </w:rPr>
        <w:t xml:space="preserve"> </w:t>
      </w:r>
      <w:r w:rsidR="009D072D" w:rsidRPr="00126113">
        <w:rPr>
          <w:rFonts w:ascii="Arial" w:hAnsi="Arial" w:cs="Arial"/>
          <w:sz w:val="24"/>
          <w:szCs w:val="24"/>
        </w:rPr>
        <w:t xml:space="preserve">It ensures that only appellants who establish an arguable case that the appeal tribunal has erred in law </w:t>
      </w:r>
      <w:r w:rsidR="00DB352C">
        <w:rPr>
          <w:rFonts w:ascii="Arial" w:hAnsi="Arial" w:cs="Arial"/>
          <w:sz w:val="24"/>
          <w:szCs w:val="24"/>
        </w:rPr>
        <w:t>can appeal to the Commissioner.</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26.</w:t>
      </w:r>
      <w:r w:rsidRPr="00126113">
        <w:rPr>
          <w:rFonts w:ascii="Arial" w:hAnsi="Arial" w:cs="Arial"/>
          <w:sz w:val="24"/>
          <w:szCs w:val="24"/>
        </w:rPr>
        <w:tab/>
      </w:r>
      <w:r w:rsidR="009D072D" w:rsidRPr="00126113">
        <w:rPr>
          <w:rFonts w:ascii="Arial" w:hAnsi="Arial" w:cs="Arial"/>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w:t>
      </w:r>
      <w:r w:rsidR="00DB352C">
        <w:rPr>
          <w:rFonts w:ascii="Arial" w:hAnsi="Arial" w:cs="Arial"/>
          <w:sz w:val="24"/>
          <w:szCs w:val="24"/>
        </w:rPr>
        <w:t>le appeal tribunal could reach.</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27.</w:t>
      </w:r>
      <w:r w:rsidRPr="00126113">
        <w:rPr>
          <w:rFonts w:ascii="Arial" w:hAnsi="Arial" w:cs="Arial"/>
          <w:sz w:val="24"/>
          <w:szCs w:val="24"/>
        </w:rPr>
        <w:tab/>
      </w:r>
      <w:r w:rsidR="009D072D" w:rsidRPr="00126113">
        <w:rPr>
          <w:rFonts w:ascii="Arial" w:hAnsi="Arial" w:cs="Arial"/>
          <w:sz w:val="24"/>
          <w:szCs w:val="24"/>
        </w:rPr>
        <w:t xml:space="preserve">UC is a relatively new benefit in Northern Ireland and the question arising in the present appeal is a novel one in this jurisdiction. </w:t>
      </w:r>
      <w:r w:rsidR="00DB352C">
        <w:rPr>
          <w:rFonts w:ascii="Arial" w:hAnsi="Arial" w:cs="Arial"/>
          <w:sz w:val="24"/>
          <w:szCs w:val="24"/>
        </w:rPr>
        <w:t xml:space="preserve"> </w:t>
      </w:r>
      <w:r w:rsidR="009D072D" w:rsidRPr="00126113">
        <w:rPr>
          <w:rFonts w:ascii="Arial" w:hAnsi="Arial" w:cs="Arial"/>
          <w:sz w:val="24"/>
          <w:szCs w:val="24"/>
        </w:rPr>
        <w:t>As no relevant precedent exists, I accept that an arguable case arises in this instan</w:t>
      </w:r>
      <w:r w:rsidR="00DB352C">
        <w:rPr>
          <w:rFonts w:ascii="Arial" w:hAnsi="Arial" w:cs="Arial"/>
          <w:sz w:val="24"/>
          <w:szCs w:val="24"/>
        </w:rPr>
        <w:t>ce and I grant leave to appeal.</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28.</w:t>
      </w:r>
      <w:r w:rsidRPr="00126113">
        <w:rPr>
          <w:rFonts w:ascii="Arial" w:hAnsi="Arial" w:cs="Arial"/>
          <w:sz w:val="24"/>
          <w:szCs w:val="24"/>
        </w:rPr>
        <w:tab/>
      </w:r>
      <w:r w:rsidR="009D072D" w:rsidRPr="00126113">
        <w:rPr>
          <w:rFonts w:ascii="Arial" w:hAnsi="Arial" w:cs="Arial"/>
          <w:sz w:val="24"/>
          <w:szCs w:val="24"/>
        </w:rPr>
        <w:t xml:space="preserve">At hearing, Mr MacManus focussed his submissions on the particular issue of whether payment of pay in lieu of notice should be taken into account as earnings in the assessment period. </w:t>
      </w:r>
      <w:r w:rsidR="00DB352C">
        <w:rPr>
          <w:rFonts w:ascii="Arial" w:hAnsi="Arial" w:cs="Arial"/>
          <w:sz w:val="24"/>
          <w:szCs w:val="24"/>
        </w:rPr>
        <w:t xml:space="preserve"> </w:t>
      </w:r>
      <w:r w:rsidR="009D072D" w:rsidRPr="00126113">
        <w:rPr>
          <w:rFonts w:ascii="Arial" w:hAnsi="Arial" w:cs="Arial"/>
          <w:sz w:val="24"/>
          <w:szCs w:val="24"/>
        </w:rPr>
        <w:t xml:space="preserve">He did not pursue the submission that, although made in the particular assessment period, it was not in respect of that assessment period. </w:t>
      </w:r>
      <w:r w:rsidR="00DB352C">
        <w:rPr>
          <w:rFonts w:ascii="Arial" w:hAnsi="Arial" w:cs="Arial"/>
          <w:sz w:val="24"/>
          <w:szCs w:val="24"/>
        </w:rPr>
        <w:t xml:space="preserve"> </w:t>
      </w:r>
      <w:r w:rsidR="009D072D" w:rsidRPr="00126113">
        <w:rPr>
          <w:rFonts w:ascii="Arial" w:hAnsi="Arial" w:cs="Arial"/>
          <w:sz w:val="24"/>
          <w:szCs w:val="24"/>
        </w:rPr>
        <w:t xml:space="preserve">This was the inevitable consequence of the decision of the Court of Appeal in England and Wales (EWCA) on the precisely equivalent provisions in Great Britain in </w:t>
      </w:r>
      <w:r w:rsidR="009D072D" w:rsidRPr="00126113">
        <w:rPr>
          <w:rFonts w:ascii="Arial" w:hAnsi="Arial" w:cs="Arial"/>
          <w:i/>
          <w:iCs/>
          <w:sz w:val="24"/>
          <w:szCs w:val="24"/>
        </w:rPr>
        <w:t>R(Johnson) v Secretary of State for Work and Pensions</w:t>
      </w:r>
      <w:r w:rsidR="009D072D" w:rsidRPr="00126113">
        <w:rPr>
          <w:rFonts w:ascii="Arial" w:hAnsi="Arial" w:cs="Arial"/>
          <w:sz w:val="24"/>
          <w:szCs w:val="24"/>
        </w:rPr>
        <w:t> </w:t>
      </w:r>
      <w:hyperlink r:id="rId7" w:tooltip="Link to BAILII version" w:history="1">
        <w:r w:rsidR="009D072D" w:rsidRPr="00126113">
          <w:rPr>
            <w:rStyle w:val="Hyperlink"/>
            <w:rFonts w:ascii="Arial" w:hAnsi="Arial" w:cs="Arial"/>
            <w:sz w:val="24"/>
            <w:szCs w:val="24"/>
          </w:rPr>
          <w:t>[2020] EWCA Civ 778</w:t>
        </w:r>
      </w:hyperlink>
      <w:r w:rsidR="009D072D" w:rsidRPr="00126113">
        <w:rPr>
          <w:rFonts w:ascii="Arial" w:hAnsi="Arial" w:cs="Arial"/>
          <w:sz w:val="24"/>
          <w:szCs w:val="24"/>
        </w:rPr>
        <w:t xml:space="preserve">. </w:t>
      </w:r>
      <w:r w:rsidR="00DB352C">
        <w:rPr>
          <w:rFonts w:ascii="Arial" w:hAnsi="Arial" w:cs="Arial"/>
          <w:sz w:val="24"/>
          <w:szCs w:val="24"/>
        </w:rPr>
        <w:t xml:space="preserve"> </w:t>
      </w:r>
      <w:r w:rsidR="009D072D" w:rsidRPr="00126113">
        <w:rPr>
          <w:rFonts w:ascii="Arial" w:hAnsi="Arial" w:cs="Arial"/>
          <w:sz w:val="24"/>
          <w:szCs w:val="24"/>
        </w:rPr>
        <w:t xml:space="preserve">While in </w:t>
      </w:r>
      <w:r w:rsidR="009D072D" w:rsidRPr="00126113">
        <w:rPr>
          <w:rFonts w:ascii="Arial" w:hAnsi="Arial" w:cs="Arial"/>
          <w:i/>
          <w:sz w:val="24"/>
          <w:szCs w:val="24"/>
        </w:rPr>
        <w:t>RM v Department for Communities</w:t>
      </w:r>
      <w:r w:rsidR="009D072D" w:rsidRPr="00126113">
        <w:rPr>
          <w:rFonts w:ascii="Arial" w:hAnsi="Arial" w:cs="Arial"/>
          <w:sz w:val="24"/>
          <w:szCs w:val="24"/>
        </w:rPr>
        <w:t xml:space="preserve"> [2021] NI Com 36 I expressed personal misgivings about the approach of the EWCA, preferring that of the Divisional Court below, I indicated that I considered that principles of comity required me to follow it. </w:t>
      </w:r>
      <w:r w:rsidR="00DB352C">
        <w:rPr>
          <w:rFonts w:ascii="Arial" w:hAnsi="Arial" w:cs="Arial"/>
          <w:sz w:val="24"/>
          <w:szCs w:val="24"/>
        </w:rPr>
        <w:t xml:space="preserve"> </w:t>
      </w:r>
      <w:r w:rsidR="009D072D" w:rsidRPr="00126113">
        <w:rPr>
          <w:rFonts w:ascii="Arial" w:hAnsi="Arial" w:cs="Arial"/>
          <w:sz w:val="24"/>
          <w:szCs w:val="24"/>
        </w:rPr>
        <w:t xml:space="preserve">I must reject Mr MacManus’ submissions for the same reasons as I gave in </w:t>
      </w:r>
      <w:r w:rsidR="009D072D" w:rsidRPr="00126113">
        <w:rPr>
          <w:rFonts w:ascii="Arial" w:hAnsi="Arial" w:cs="Arial"/>
          <w:i/>
          <w:sz w:val="24"/>
          <w:szCs w:val="24"/>
        </w:rPr>
        <w:t>RM v Department for Communities</w:t>
      </w:r>
      <w:r w:rsidR="009D072D" w:rsidRPr="00126113">
        <w:rPr>
          <w:rFonts w:ascii="Arial" w:hAnsi="Arial" w:cs="Arial"/>
          <w:sz w:val="24"/>
          <w:szCs w:val="24"/>
        </w:rPr>
        <w:t>.</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29.</w:t>
      </w:r>
      <w:r w:rsidRPr="00126113">
        <w:rPr>
          <w:rFonts w:ascii="Arial" w:hAnsi="Arial" w:cs="Arial"/>
          <w:sz w:val="24"/>
          <w:szCs w:val="24"/>
        </w:rPr>
        <w:tab/>
      </w:r>
      <w:r w:rsidR="009D072D" w:rsidRPr="00126113">
        <w:rPr>
          <w:rFonts w:ascii="Arial" w:hAnsi="Arial" w:cs="Arial"/>
          <w:sz w:val="24"/>
          <w:szCs w:val="24"/>
        </w:rPr>
        <w:t xml:space="preserve">At hearing Mr Finnerty further relied upon the Upper Tribunal decision of Judge Jacobs in </w:t>
      </w:r>
      <w:r w:rsidR="009D072D" w:rsidRPr="00126113">
        <w:rPr>
          <w:rFonts w:ascii="Arial" w:hAnsi="Arial" w:cs="Arial"/>
          <w:i/>
          <w:sz w:val="24"/>
          <w:szCs w:val="24"/>
        </w:rPr>
        <w:t>PT v SSWP</w:t>
      </w:r>
      <w:r w:rsidR="009D072D" w:rsidRPr="00126113">
        <w:rPr>
          <w:rFonts w:ascii="Arial" w:hAnsi="Arial" w:cs="Arial"/>
          <w:sz w:val="24"/>
          <w:szCs w:val="24"/>
        </w:rPr>
        <w:t xml:space="preserve"> [2015] UKUT 696. </w:t>
      </w:r>
      <w:r w:rsidR="00DB352C">
        <w:rPr>
          <w:rFonts w:ascii="Arial" w:hAnsi="Arial" w:cs="Arial"/>
          <w:sz w:val="24"/>
          <w:szCs w:val="24"/>
        </w:rPr>
        <w:t xml:space="preserve"> </w:t>
      </w:r>
      <w:r w:rsidR="009D072D" w:rsidRPr="00126113">
        <w:rPr>
          <w:rFonts w:ascii="Arial" w:hAnsi="Arial" w:cs="Arial"/>
          <w:sz w:val="24"/>
          <w:szCs w:val="24"/>
        </w:rPr>
        <w:t xml:space="preserve">He also made the submission that the fact that tax and national insurance had been deducted by an employer was definitive of whether earnings were not exempt from taxation. </w:t>
      </w:r>
      <w:r w:rsidR="00DB352C">
        <w:rPr>
          <w:rFonts w:ascii="Arial" w:hAnsi="Arial" w:cs="Arial"/>
          <w:sz w:val="24"/>
          <w:szCs w:val="24"/>
        </w:rPr>
        <w:t xml:space="preserve"> </w:t>
      </w:r>
      <w:r w:rsidR="009D072D" w:rsidRPr="00126113">
        <w:rPr>
          <w:rFonts w:ascii="Arial" w:hAnsi="Arial" w:cs="Arial"/>
          <w:sz w:val="24"/>
          <w:szCs w:val="24"/>
        </w:rPr>
        <w:t xml:space="preserve">I do not find the decision of Judge Jacobs particularly helpful in addressing the particular issue in this case. </w:t>
      </w:r>
      <w:r w:rsidR="00DB352C">
        <w:rPr>
          <w:rFonts w:ascii="Arial" w:hAnsi="Arial" w:cs="Arial"/>
          <w:sz w:val="24"/>
          <w:szCs w:val="24"/>
        </w:rPr>
        <w:t xml:space="preserve"> </w:t>
      </w:r>
      <w:r w:rsidR="009D072D" w:rsidRPr="00126113">
        <w:rPr>
          <w:rFonts w:ascii="Arial" w:hAnsi="Arial" w:cs="Arial"/>
          <w:sz w:val="24"/>
          <w:szCs w:val="24"/>
        </w:rPr>
        <w:t xml:space="preserve">I also reject Mr Finnerty’s submission that the fact of an employer having made deductions is decisive of anything. </w:t>
      </w:r>
      <w:r w:rsidR="00DB352C">
        <w:rPr>
          <w:rFonts w:ascii="Arial" w:hAnsi="Arial" w:cs="Arial"/>
          <w:sz w:val="24"/>
          <w:szCs w:val="24"/>
        </w:rPr>
        <w:t xml:space="preserve"> </w:t>
      </w:r>
      <w:r w:rsidR="009D072D" w:rsidRPr="00126113">
        <w:rPr>
          <w:rFonts w:ascii="Arial" w:hAnsi="Arial" w:cs="Arial"/>
          <w:sz w:val="24"/>
          <w:szCs w:val="24"/>
        </w:rPr>
        <w:t>The issue for a decisio</w:t>
      </w:r>
      <w:r w:rsidR="00DB352C">
        <w:rPr>
          <w:rFonts w:ascii="Arial" w:hAnsi="Arial" w:cs="Arial"/>
          <w:sz w:val="24"/>
          <w:szCs w:val="24"/>
        </w:rPr>
        <w:t xml:space="preserve">n maker is to determine </w:t>
      </w:r>
      <w:r w:rsidR="009D072D" w:rsidRPr="00126113">
        <w:rPr>
          <w:rFonts w:ascii="Arial" w:hAnsi="Arial" w:cs="Arial"/>
          <w:sz w:val="24"/>
          <w:szCs w:val="24"/>
        </w:rPr>
        <w:t>whether payments fall within the statutory definitions in the UC Regulations and the ITEPA and not simply to accept how a th</w:t>
      </w:r>
      <w:r w:rsidR="00DB352C">
        <w:rPr>
          <w:rFonts w:ascii="Arial" w:hAnsi="Arial" w:cs="Arial"/>
          <w:sz w:val="24"/>
          <w:szCs w:val="24"/>
        </w:rPr>
        <w:t>ird party has interpreted them.</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30.</w:t>
      </w:r>
      <w:r w:rsidRPr="00126113">
        <w:rPr>
          <w:rFonts w:ascii="Arial" w:hAnsi="Arial" w:cs="Arial"/>
          <w:sz w:val="24"/>
          <w:szCs w:val="24"/>
        </w:rPr>
        <w:tab/>
      </w:r>
      <w:r w:rsidR="009D072D" w:rsidRPr="00126113">
        <w:rPr>
          <w:rFonts w:ascii="Arial" w:hAnsi="Arial" w:cs="Arial"/>
          <w:sz w:val="24"/>
          <w:szCs w:val="24"/>
        </w:rPr>
        <w:t xml:space="preserve">In his submissions to me, Mr MacManus had relied upon the Department’s own UC guidance. </w:t>
      </w:r>
      <w:r w:rsidR="00DB352C">
        <w:rPr>
          <w:rFonts w:ascii="Arial" w:hAnsi="Arial" w:cs="Arial"/>
          <w:sz w:val="24"/>
          <w:szCs w:val="24"/>
        </w:rPr>
        <w:t xml:space="preserve"> </w:t>
      </w:r>
      <w:r w:rsidR="009D072D" w:rsidRPr="00126113">
        <w:rPr>
          <w:rFonts w:ascii="Arial" w:hAnsi="Arial" w:cs="Arial"/>
          <w:sz w:val="24"/>
          <w:szCs w:val="24"/>
        </w:rPr>
        <w:t xml:space="preserve">He referred to paragraph H3108 of the guidance, which describes particular payments that are exempt from taxation and do not fall to be treated as earnings for UC purposes. </w:t>
      </w:r>
      <w:r w:rsidR="00DB352C">
        <w:rPr>
          <w:rFonts w:ascii="Arial" w:hAnsi="Arial" w:cs="Arial"/>
          <w:sz w:val="24"/>
          <w:szCs w:val="24"/>
        </w:rPr>
        <w:t xml:space="preserve"> </w:t>
      </w:r>
      <w:r w:rsidR="009D072D" w:rsidRPr="00126113">
        <w:rPr>
          <w:rFonts w:ascii="Arial" w:hAnsi="Arial" w:cs="Arial"/>
          <w:sz w:val="24"/>
          <w:szCs w:val="24"/>
        </w:rPr>
        <w:t xml:space="preserve">These include “termination of employment payments”, with reference to regulation 55(2)(b) of the UC Regulations and Part 5 [sic] of the Income Tax (Earnings and Pensions) Act 2003. </w:t>
      </w:r>
      <w:r w:rsidR="00DB352C">
        <w:rPr>
          <w:rFonts w:ascii="Arial" w:hAnsi="Arial" w:cs="Arial"/>
          <w:sz w:val="24"/>
          <w:szCs w:val="24"/>
        </w:rPr>
        <w:t xml:space="preserve"> </w:t>
      </w:r>
      <w:r w:rsidR="009D072D" w:rsidRPr="00126113">
        <w:rPr>
          <w:rFonts w:ascii="Arial" w:hAnsi="Arial" w:cs="Arial"/>
          <w:sz w:val="24"/>
          <w:szCs w:val="24"/>
        </w:rPr>
        <w:t>In the absence of a definition of “termination of employment payments”, Mr MacManus submitted that the tribunal had applied an unduly narrow approach, referring to redundancy payments but distinguishing redundancy from dismissal, and by declining to accept that pay in lieu of notice was a paymen</w:t>
      </w:r>
      <w:r w:rsidR="00DB352C">
        <w:rPr>
          <w:rFonts w:ascii="Arial" w:hAnsi="Arial" w:cs="Arial"/>
          <w:sz w:val="24"/>
          <w:szCs w:val="24"/>
        </w:rPr>
        <w:t>t on termination of employment.</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sz w:val="24"/>
          <w:szCs w:val="24"/>
        </w:rPr>
      </w:pPr>
      <w:r w:rsidRPr="00126113">
        <w:rPr>
          <w:rFonts w:ascii="Arial" w:hAnsi="Arial" w:cs="Arial"/>
          <w:sz w:val="24"/>
          <w:szCs w:val="24"/>
        </w:rPr>
        <w:t>31.</w:t>
      </w:r>
      <w:r w:rsidRPr="00126113">
        <w:rPr>
          <w:rFonts w:ascii="Arial" w:hAnsi="Arial" w:cs="Arial"/>
          <w:sz w:val="24"/>
          <w:szCs w:val="24"/>
        </w:rPr>
        <w:tab/>
      </w:r>
      <w:r w:rsidR="009D072D" w:rsidRPr="00126113">
        <w:rPr>
          <w:rFonts w:ascii="Arial" w:hAnsi="Arial" w:cs="Arial"/>
          <w:sz w:val="24"/>
          <w:szCs w:val="24"/>
        </w:rPr>
        <w:t xml:space="preserve">However, agreeing with the submission made by Mr Finnerty, I do not accept that termination of employment payments are not defined in legislation. </w:t>
      </w:r>
      <w:r w:rsidR="00020F65">
        <w:rPr>
          <w:rFonts w:ascii="Arial" w:hAnsi="Arial" w:cs="Arial"/>
          <w:sz w:val="24"/>
          <w:szCs w:val="24"/>
        </w:rPr>
        <w:t xml:space="preserve"> </w:t>
      </w:r>
      <w:r w:rsidR="009D072D" w:rsidRPr="00126113">
        <w:rPr>
          <w:rFonts w:ascii="Arial" w:hAnsi="Arial" w:cs="Arial"/>
          <w:sz w:val="24"/>
          <w:szCs w:val="24"/>
        </w:rPr>
        <w:t xml:space="preserve">The starting point is regulation 55 of the UC Regulations. </w:t>
      </w:r>
      <w:r w:rsidR="00020F65">
        <w:rPr>
          <w:rFonts w:ascii="Arial" w:hAnsi="Arial" w:cs="Arial"/>
          <w:sz w:val="24"/>
          <w:szCs w:val="24"/>
        </w:rPr>
        <w:t xml:space="preserve"> </w:t>
      </w:r>
      <w:r w:rsidR="009D072D" w:rsidRPr="00126113">
        <w:rPr>
          <w:rFonts w:ascii="Arial" w:hAnsi="Arial" w:cs="Arial"/>
          <w:sz w:val="24"/>
          <w:szCs w:val="24"/>
        </w:rPr>
        <w:t>By regulation 55(2) “employed earnings” comprise earnings as defined in section 7(3) of the ITEPA, but excluding—</w:t>
      </w:r>
    </w:p>
    <w:p w:rsidR="009D072D" w:rsidRPr="00126113" w:rsidRDefault="009D072D" w:rsidP="00DA09E6">
      <w:pPr>
        <w:pStyle w:val="legclearfix"/>
        <w:tabs>
          <w:tab w:val="left" w:pos="510"/>
          <w:tab w:val="left" w:pos="1077"/>
          <w:tab w:val="left" w:pos="1797"/>
        </w:tabs>
        <w:spacing w:before="0" w:beforeAutospacing="0" w:after="0" w:afterAutospacing="0"/>
        <w:rPr>
          <w:rStyle w:val="legds"/>
          <w:rFonts w:ascii="Arial" w:hAnsi="Arial" w:cs="Arial"/>
        </w:rPr>
      </w:pPr>
    </w:p>
    <w:p w:rsidR="009D072D" w:rsidRPr="00126113" w:rsidRDefault="008200EE" w:rsidP="00DA09E6">
      <w:pPr>
        <w:pStyle w:val="legclearfix"/>
        <w:tabs>
          <w:tab w:val="left" w:pos="510"/>
          <w:tab w:val="left" w:pos="1077"/>
          <w:tab w:val="left" w:pos="1797"/>
        </w:tabs>
        <w:spacing w:before="0" w:beforeAutospacing="0" w:after="0" w:afterAutospacing="0"/>
        <w:ind w:left="510" w:hanging="510"/>
        <w:jc w:val="both"/>
        <w:rPr>
          <w:rFonts w:ascii="Arial" w:hAnsi="Arial" w:cs="Arial"/>
        </w:rPr>
      </w:pPr>
      <w:r>
        <w:rPr>
          <w:rStyle w:val="legds"/>
          <w:rFonts w:ascii="Arial" w:hAnsi="Arial" w:cs="Arial"/>
        </w:rPr>
        <w:tab/>
      </w:r>
      <w:r w:rsidR="009D072D" w:rsidRPr="00126113">
        <w:rPr>
          <w:rStyle w:val="legds"/>
          <w:rFonts w:ascii="Arial" w:hAnsi="Arial" w:cs="Arial"/>
        </w:rPr>
        <w:t>(a) amounts that are treated as earnings under Chapters 2 to 11 of Part 3 of that Act (employment income: earnings and benefit etc treated as income), and</w:t>
      </w:r>
    </w:p>
    <w:p w:rsidR="009D072D" w:rsidRPr="00126113" w:rsidRDefault="009D072D" w:rsidP="00DA09E6">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p>
    <w:p w:rsidR="009D072D" w:rsidRPr="00126113" w:rsidRDefault="008200EE" w:rsidP="00DA09E6">
      <w:pPr>
        <w:pStyle w:val="legclearfix"/>
        <w:tabs>
          <w:tab w:val="left" w:pos="510"/>
          <w:tab w:val="left" w:pos="1077"/>
          <w:tab w:val="left" w:pos="1797"/>
        </w:tabs>
        <w:spacing w:before="0" w:beforeAutospacing="0" w:after="0" w:afterAutospacing="0"/>
        <w:ind w:left="510" w:hanging="510"/>
        <w:jc w:val="both"/>
        <w:rPr>
          <w:rFonts w:ascii="Arial" w:hAnsi="Arial" w:cs="Arial"/>
        </w:rPr>
      </w:pPr>
      <w:r>
        <w:rPr>
          <w:rStyle w:val="legds"/>
          <w:rFonts w:ascii="Arial" w:hAnsi="Arial" w:cs="Arial"/>
        </w:rPr>
        <w:tab/>
      </w:r>
      <w:r w:rsidR="009D072D" w:rsidRPr="00126113">
        <w:rPr>
          <w:rStyle w:val="legds"/>
          <w:rFonts w:ascii="Arial" w:hAnsi="Arial" w:cs="Arial"/>
        </w:rPr>
        <w:t>(b) amounts that are exempt from income tax under Part 4 of that Act (employment income: exemptions).</w:t>
      </w:r>
    </w:p>
    <w:p w:rsidR="009D072D" w:rsidRPr="00126113" w:rsidRDefault="009D072D" w:rsidP="00DA09E6">
      <w:pPr>
        <w:tabs>
          <w:tab w:val="left" w:pos="510"/>
          <w:tab w:val="left" w:pos="1077"/>
          <w:tab w:val="left" w:pos="1797"/>
        </w:tabs>
        <w:spacing w:after="0" w:line="240" w:lineRule="auto"/>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color w:val="000000"/>
          <w:sz w:val="24"/>
          <w:szCs w:val="24"/>
        </w:rPr>
      </w:pPr>
      <w:r w:rsidRPr="00126113">
        <w:rPr>
          <w:rFonts w:ascii="Arial" w:hAnsi="Arial" w:cs="Arial"/>
          <w:sz w:val="24"/>
          <w:szCs w:val="24"/>
        </w:rPr>
        <w:t>32.</w:t>
      </w:r>
      <w:r w:rsidRPr="00126113">
        <w:rPr>
          <w:rFonts w:ascii="Arial" w:hAnsi="Arial" w:cs="Arial"/>
          <w:sz w:val="24"/>
          <w:szCs w:val="24"/>
        </w:rPr>
        <w:tab/>
      </w:r>
      <w:r w:rsidR="009D072D" w:rsidRPr="00126113">
        <w:rPr>
          <w:rFonts w:ascii="Arial" w:hAnsi="Arial" w:cs="Arial"/>
          <w:sz w:val="24"/>
          <w:szCs w:val="24"/>
        </w:rPr>
        <w:t xml:space="preserve">By Chapter 10 of Part 4, certain </w:t>
      </w:r>
      <w:r w:rsidR="009D072D" w:rsidRPr="00126113">
        <w:rPr>
          <w:rFonts w:ascii="Arial" w:eastAsia="Times New Roman" w:hAnsi="Arial" w:cs="Arial"/>
          <w:color w:val="000000"/>
          <w:sz w:val="24"/>
          <w:szCs w:val="24"/>
          <w:lang w:eastAsia="en-GB"/>
        </w:rPr>
        <w:t xml:space="preserve">payments upon termination of employment are exempted from income tax liability. </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 xml:space="preserve">Specifically, </w:t>
      </w:r>
      <w:r w:rsidR="009D072D" w:rsidRPr="00126113">
        <w:rPr>
          <w:rFonts w:ascii="Arial" w:hAnsi="Arial" w:cs="Arial"/>
          <w:sz w:val="24"/>
          <w:szCs w:val="24"/>
        </w:rPr>
        <w:t xml:space="preserve">Chapter 10 provides at section 309 for redundancy payments (including statutory redundancy payments) and approved contractual payments to be exempt from income tax liability. </w:t>
      </w:r>
      <w:r w:rsidR="00147A03">
        <w:rPr>
          <w:rFonts w:ascii="Arial" w:hAnsi="Arial" w:cs="Arial"/>
          <w:sz w:val="24"/>
          <w:szCs w:val="24"/>
        </w:rPr>
        <w:t xml:space="preserve"> </w:t>
      </w:r>
      <w:r w:rsidR="009D072D" w:rsidRPr="00126113">
        <w:rPr>
          <w:rFonts w:ascii="Arial" w:hAnsi="Arial" w:cs="Arial"/>
          <w:color w:val="000000"/>
          <w:sz w:val="24"/>
          <w:szCs w:val="24"/>
        </w:rPr>
        <w:t>“Redundancy payment” means a redundancy payment under Part 12 of the Employment Rights (NI) Order 1996 (ER(NI)O 1996).</w:t>
      </w:r>
      <w:r w:rsidR="00147A03">
        <w:rPr>
          <w:rFonts w:ascii="Arial" w:hAnsi="Arial" w:cs="Arial"/>
          <w:color w:val="000000"/>
          <w:sz w:val="24"/>
          <w:szCs w:val="24"/>
        </w:rPr>
        <w:t xml:space="preserve"> </w:t>
      </w:r>
      <w:r w:rsidR="009D072D" w:rsidRPr="00126113">
        <w:rPr>
          <w:rFonts w:ascii="Arial" w:hAnsi="Arial" w:cs="Arial"/>
          <w:color w:val="000000"/>
          <w:sz w:val="24"/>
          <w:szCs w:val="24"/>
        </w:rPr>
        <w:t xml:space="preserve"> “Approved contractual payment” means a payment to a person on the termination of the person’s employment under an agreement in respect of which an order is in force under </w:t>
      </w:r>
      <w:r w:rsidRPr="00126113">
        <w:rPr>
          <w:rFonts w:ascii="Arial" w:hAnsi="Arial" w:cs="Arial"/>
          <w:color w:val="000000"/>
          <w:sz w:val="24"/>
          <w:szCs w:val="24"/>
        </w:rPr>
        <w:t>A</w:t>
      </w:r>
      <w:r w:rsidR="009D072D" w:rsidRPr="00126113">
        <w:rPr>
          <w:rFonts w:ascii="Arial" w:hAnsi="Arial" w:cs="Arial"/>
          <w:color w:val="000000"/>
          <w:sz w:val="24"/>
          <w:szCs w:val="24"/>
        </w:rPr>
        <w:t>rticle 192 of ER(NI)O 1996.</w:t>
      </w:r>
      <w:r w:rsidR="00147A03">
        <w:rPr>
          <w:rFonts w:ascii="Arial" w:hAnsi="Arial" w:cs="Arial"/>
          <w:color w:val="000000"/>
          <w:sz w:val="24"/>
          <w:szCs w:val="24"/>
        </w:rPr>
        <w:t xml:space="preserve"> </w:t>
      </w:r>
      <w:r w:rsidR="009D072D" w:rsidRPr="00126113">
        <w:rPr>
          <w:rFonts w:ascii="Arial" w:hAnsi="Arial" w:cs="Arial"/>
          <w:color w:val="000000"/>
          <w:sz w:val="24"/>
          <w:szCs w:val="24"/>
        </w:rPr>
        <w:t xml:space="preserve"> Identifying a redundancy payment is straightforward enough.</w:t>
      </w:r>
      <w:r w:rsidR="00147A03">
        <w:rPr>
          <w:rFonts w:ascii="Arial" w:hAnsi="Arial" w:cs="Arial"/>
          <w:color w:val="000000"/>
          <w:sz w:val="24"/>
          <w:szCs w:val="24"/>
        </w:rPr>
        <w:t xml:space="preserve"> </w:t>
      </w:r>
      <w:r w:rsidR="009D072D" w:rsidRPr="00126113">
        <w:rPr>
          <w:rFonts w:ascii="Arial" w:hAnsi="Arial" w:cs="Arial"/>
          <w:color w:val="000000"/>
          <w:sz w:val="24"/>
          <w:szCs w:val="24"/>
        </w:rPr>
        <w:t xml:space="preserve"> In my understanding, an approved contractual payment is a compensatory award in respect of unfair dismissal, which is not in any event relevant to the present case. </w:t>
      </w:r>
      <w:r w:rsidR="00147A03">
        <w:rPr>
          <w:rFonts w:ascii="Arial" w:hAnsi="Arial" w:cs="Arial"/>
          <w:color w:val="000000"/>
          <w:sz w:val="24"/>
          <w:szCs w:val="24"/>
        </w:rPr>
        <w:t xml:space="preserve"> </w:t>
      </w:r>
      <w:r w:rsidR="009D072D" w:rsidRPr="00126113">
        <w:rPr>
          <w:rFonts w:ascii="Arial" w:hAnsi="Arial" w:cs="Arial"/>
          <w:color w:val="000000"/>
          <w:sz w:val="24"/>
          <w:szCs w:val="24"/>
        </w:rPr>
        <w:t>However, I have not had submissions o</w:t>
      </w:r>
      <w:r w:rsidR="00147A03">
        <w:rPr>
          <w:rFonts w:ascii="Arial" w:hAnsi="Arial" w:cs="Arial"/>
          <w:color w:val="000000"/>
          <w:sz w:val="24"/>
          <w:szCs w:val="24"/>
        </w:rPr>
        <w:t>r heard argument on this point.</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color w:val="000000"/>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color w:val="000000"/>
          <w:sz w:val="24"/>
          <w:szCs w:val="24"/>
        </w:rPr>
      </w:pPr>
      <w:r w:rsidRPr="00126113">
        <w:rPr>
          <w:rFonts w:ascii="Arial" w:hAnsi="Arial" w:cs="Arial"/>
          <w:color w:val="000000"/>
          <w:sz w:val="24"/>
          <w:szCs w:val="24"/>
        </w:rPr>
        <w:t>33.</w:t>
      </w:r>
      <w:r w:rsidRPr="00126113">
        <w:rPr>
          <w:rFonts w:ascii="Arial" w:hAnsi="Arial" w:cs="Arial"/>
          <w:color w:val="000000"/>
          <w:sz w:val="24"/>
          <w:szCs w:val="24"/>
        </w:rPr>
        <w:tab/>
      </w:r>
      <w:r w:rsidR="009D072D" w:rsidRPr="00126113">
        <w:rPr>
          <w:rFonts w:ascii="Arial" w:hAnsi="Arial" w:cs="Arial"/>
          <w:color w:val="000000"/>
          <w:sz w:val="24"/>
          <w:szCs w:val="24"/>
        </w:rPr>
        <w:t xml:space="preserve">The tribunal appears to have identified the reference to redundancy payments in the income tax legislation. </w:t>
      </w:r>
      <w:r w:rsidR="00147A03">
        <w:rPr>
          <w:rFonts w:ascii="Arial" w:hAnsi="Arial" w:cs="Arial"/>
          <w:color w:val="000000"/>
          <w:sz w:val="24"/>
          <w:szCs w:val="24"/>
        </w:rPr>
        <w:t xml:space="preserve"> </w:t>
      </w:r>
      <w:r w:rsidR="009D072D" w:rsidRPr="00126113">
        <w:rPr>
          <w:rFonts w:ascii="Arial" w:hAnsi="Arial" w:cs="Arial"/>
          <w:color w:val="000000"/>
          <w:sz w:val="24"/>
          <w:szCs w:val="24"/>
        </w:rPr>
        <w:t xml:space="preserve">Mr MacManus challenged the tribunal’s approach of making a distinction between payments made upon redundancy and dismissal. </w:t>
      </w:r>
      <w:r w:rsidR="00147A03">
        <w:rPr>
          <w:rFonts w:ascii="Arial" w:hAnsi="Arial" w:cs="Arial"/>
          <w:color w:val="000000"/>
          <w:sz w:val="24"/>
          <w:szCs w:val="24"/>
        </w:rPr>
        <w:t xml:space="preserve"> </w:t>
      </w:r>
      <w:r w:rsidR="009D072D" w:rsidRPr="00126113">
        <w:rPr>
          <w:rFonts w:ascii="Arial" w:hAnsi="Arial" w:cs="Arial"/>
          <w:color w:val="000000"/>
          <w:sz w:val="24"/>
          <w:szCs w:val="24"/>
        </w:rPr>
        <w:t xml:space="preserve">However, this can be understood only when Chapter 10 of Part 4 of the ITEPA is considered. </w:t>
      </w:r>
      <w:r w:rsidR="00147A03">
        <w:rPr>
          <w:rFonts w:ascii="Arial" w:hAnsi="Arial" w:cs="Arial"/>
          <w:color w:val="000000"/>
          <w:sz w:val="24"/>
          <w:szCs w:val="24"/>
        </w:rPr>
        <w:t xml:space="preserve"> </w:t>
      </w:r>
      <w:r w:rsidR="009D072D" w:rsidRPr="00126113">
        <w:rPr>
          <w:rFonts w:ascii="Arial" w:hAnsi="Arial" w:cs="Arial"/>
          <w:color w:val="000000"/>
          <w:sz w:val="24"/>
          <w:szCs w:val="24"/>
        </w:rPr>
        <w:t xml:space="preserve">The tribunal was clearly correct to turn its mind to the scope of payments on termination of employment that are exempt from income tax. </w:t>
      </w:r>
      <w:r w:rsidR="00147A03">
        <w:rPr>
          <w:rFonts w:ascii="Arial" w:hAnsi="Arial" w:cs="Arial"/>
          <w:color w:val="000000"/>
          <w:sz w:val="24"/>
          <w:szCs w:val="24"/>
        </w:rPr>
        <w:t xml:space="preserve"> </w:t>
      </w:r>
      <w:r w:rsidR="009D072D" w:rsidRPr="00126113">
        <w:rPr>
          <w:rFonts w:ascii="Arial" w:hAnsi="Arial" w:cs="Arial"/>
          <w:color w:val="000000"/>
          <w:sz w:val="24"/>
          <w:szCs w:val="24"/>
        </w:rPr>
        <w:t xml:space="preserve">While noting that redundancy payments were exempt, it found that a payment following dismissal did not fall into that category. </w:t>
      </w:r>
      <w:r w:rsidR="00147A03">
        <w:rPr>
          <w:rFonts w:ascii="Arial" w:hAnsi="Arial" w:cs="Arial"/>
          <w:color w:val="000000"/>
          <w:sz w:val="24"/>
          <w:szCs w:val="24"/>
        </w:rPr>
        <w:t xml:space="preserve"> </w:t>
      </w:r>
      <w:r w:rsidR="009D072D" w:rsidRPr="00126113">
        <w:rPr>
          <w:rFonts w:ascii="Arial" w:hAnsi="Arial" w:cs="Arial"/>
          <w:color w:val="000000"/>
          <w:sz w:val="24"/>
          <w:szCs w:val="24"/>
        </w:rPr>
        <w:t>Therefore I do not accept that the tribunal has erred in law by distinguishing between redundancy payments a</w:t>
      </w:r>
      <w:r w:rsidR="00147A03">
        <w:rPr>
          <w:rFonts w:ascii="Arial" w:hAnsi="Arial" w:cs="Arial"/>
          <w:color w:val="000000"/>
          <w:sz w:val="24"/>
          <w:szCs w:val="24"/>
        </w:rPr>
        <w:t>nd payments upon dismissal.</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color w:val="000000"/>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hAnsi="Arial" w:cs="Arial"/>
          <w:color w:val="000000"/>
          <w:sz w:val="24"/>
          <w:szCs w:val="24"/>
        </w:rPr>
      </w:pPr>
      <w:r w:rsidRPr="00126113">
        <w:rPr>
          <w:rFonts w:ascii="Arial" w:hAnsi="Arial" w:cs="Arial"/>
          <w:color w:val="000000"/>
          <w:sz w:val="24"/>
          <w:szCs w:val="24"/>
        </w:rPr>
        <w:t>34.</w:t>
      </w:r>
      <w:r w:rsidRPr="00126113">
        <w:rPr>
          <w:rFonts w:ascii="Arial" w:hAnsi="Arial" w:cs="Arial"/>
          <w:color w:val="000000"/>
          <w:sz w:val="24"/>
          <w:szCs w:val="24"/>
        </w:rPr>
        <w:tab/>
      </w:r>
      <w:r w:rsidR="009D072D" w:rsidRPr="00126113">
        <w:rPr>
          <w:rFonts w:ascii="Arial" w:hAnsi="Arial" w:cs="Arial"/>
          <w:color w:val="000000"/>
          <w:sz w:val="24"/>
          <w:szCs w:val="24"/>
        </w:rPr>
        <w:t xml:space="preserve">The tribunal was not assisted, in so far as I can see, by being provided with a copy of the relevant income tax legislation or a summary of the legislation. </w:t>
      </w:r>
      <w:r w:rsidR="00147A03">
        <w:rPr>
          <w:rFonts w:ascii="Arial" w:hAnsi="Arial" w:cs="Arial"/>
          <w:color w:val="000000"/>
          <w:sz w:val="24"/>
          <w:szCs w:val="24"/>
        </w:rPr>
        <w:t xml:space="preserve"> </w:t>
      </w:r>
      <w:r w:rsidR="009D072D" w:rsidRPr="00126113">
        <w:rPr>
          <w:rFonts w:ascii="Arial" w:hAnsi="Arial" w:cs="Arial"/>
          <w:color w:val="000000"/>
          <w:sz w:val="24"/>
          <w:szCs w:val="24"/>
        </w:rPr>
        <w:t xml:space="preserve">Whereas social security tribunals are furnished with copies of social security legislation and of case law that the Department considers relevant, it seems to me that regulation 55 opens a link into a completely different body of income tax law. </w:t>
      </w:r>
      <w:r w:rsidR="00147A03">
        <w:rPr>
          <w:rFonts w:ascii="Arial" w:hAnsi="Arial" w:cs="Arial"/>
          <w:color w:val="000000"/>
          <w:sz w:val="24"/>
          <w:szCs w:val="24"/>
        </w:rPr>
        <w:t xml:space="preserve"> </w:t>
      </w:r>
      <w:r w:rsidR="009D072D" w:rsidRPr="00126113">
        <w:rPr>
          <w:rFonts w:ascii="Arial" w:hAnsi="Arial" w:cs="Arial"/>
          <w:color w:val="000000"/>
          <w:sz w:val="24"/>
          <w:szCs w:val="24"/>
        </w:rPr>
        <w:t>In this context, I judge that more needs to be provided by the Department, including explanatory material, legislation and jurisprudence relating to income tax, to enable tribunals fully to perform their role in cases such as the present one and to enable appellants and advisors to unde</w:t>
      </w:r>
      <w:r w:rsidR="00147A03">
        <w:rPr>
          <w:rFonts w:ascii="Arial" w:hAnsi="Arial" w:cs="Arial"/>
          <w:color w:val="000000"/>
          <w:sz w:val="24"/>
          <w:szCs w:val="24"/>
        </w:rPr>
        <w:t>rstand the decisions in a case.</w:t>
      </w:r>
    </w:p>
    <w:p w:rsidR="009D072D" w:rsidRPr="00126113" w:rsidRDefault="009D072D" w:rsidP="00DA09E6">
      <w:pPr>
        <w:tabs>
          <w:tab w:val="left" w:pos="510"/>
          <w:tab w:val="left" w:pos="1077"/>
          <w:tab w:val="left" w:pos="1797"/>
        </w:tabs>
        <w:spacing w:after="0" w:line="240" w:lineRule="auto"/>
        <w:ind w:left="510" w:hanging="510"/>
        <w:jc w:val="both"/>
        <w:rPr>
          <w:rFonts w:ascii="Arial" w:hAnsi="Arial" w:cs="Arial"/>
          <w:sz w:val="24"/>
          <w:szCs w:val="24"/>
        </w:rPr>
      </w:pPr>
    </w:p>
    <w:p w:rsidR="009D072D" w:rsidRPr="00126113" w:rsidRDefault="005947FB" w:rsidP="00DA09E6">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sidRPr="00126113">
        <w:rPr>
          <w:rFonts w:ascii="Arial" w:hAnsi="Arial" w:cs="Arial"/>
          <w:sz w:val="24"/>
          <w:szCs w:val="24"/>
        </w:rPr>
        <w:t>35.</w:t>
      </w:r>
      <w:r w:rsidRPr="00126113">
        <w:rPr>
          <w:rFonts w:ascii="Arial" w:hAnsi="Arial" w:cs="Arial"/>
          <w:sz w:val="24"/>
          <w:szCs w:val="24"/>
        </w:rPr>
        <w:tab/>
      </w:r>
      <w:r w:rsidR="009D072D" w:rsidRPr="00126113">
        <w:rPr>
          <w:rFonts w:ascii="Arial" w:hAnsi="Arial" w:cs="Arial"/>
          <w:sz w:val="24"/>
          <w:szCs w:val="24"/>
        </w:rPr>
        <w:t xml:space="preserve">As set out above, the definition in section 7(3) of the ITEPA is subject to the exclusion of exempt income from general earnings. </w:t>
      </w:r>
      <w:r w:rsidR="00147A03">
        <w:rPr>
          <w:rFonts w:ascii="Arial" w:hAnsi="Arial" w:cs="Arial"/>
          <w:sz w:val="24"/>
          <w:szCs w:val="24"/>
        </w:rPr>
        <w:t xml:space="preserve"> </w:t>
      </w:r>
      <w:r w:rsidR="009D072D" w:rsidRPr="00126113">
        <w:rPr>
          <w:rFonts w:ascii="Arial" w:hAnsi="Arial" w:cs="Arial"/>
          <w:sz w:val="24"/>
          <w:szCs w:val="24"/>
        </w:rPr>
        <w:t xml:space="preserve">Section 8 further provides that </w:t>
      </w:r>
      <w:r w:rsidR="009D072D" w:rsidRPr="00126113">
        <w:rPr>
          <w:rFonts w:ascii="Arial" w:eastAsia="Times New Roman" w:hAnsi="Arial" w:cs="Arial"/>
          <w:color w:val="000000"/>
          <w:sz w:val="24"/>
          <w:szCs w:val="24"/>
          <w:lang w:eastAsia="en-GB"/>
        </w:rPr>
        <w:t xml:space="preserve">an amount of employment income is “exempt income” if, as a result of any exemption in Part 4 </w:t>
      </w:r>
      <w:r w:rsidR="009D072D" w:rsidRPr="00126113">
        <w:rPr>
          <w:rFonts w:ascii="Arial" w:eastAsia="Times New Roman" w:hAnsi="Arial" w:cs="Arial"/>
          <w:color w:val="000000"/>
          <w:sz w:val="24"/>
          <w:szCs w:val="24"/>
          <w:u w:val="single"/>
          <w:lang w:eastAsia="en-GB"/>
        </w:rPr>
        <w:t>or elsewhere</w:t>
      </w:r>
      <w:r w:rsidR="009D072D" w:rsidRPr="00126113">
        <w:rPr>
          <w:rFonts w:ascii="Arial" w:eastAsia="Times New Roman" w:hAnsi="Arial" w:cs="Arial"/>
          <w:color w:val="000000"/>
          <w:sz w:val="24"/>
          <w:szCs w:val="24"/>
          <w:lang w:eastAsia="en-GB"/>
        </w:rPr>
        <w:t xml:space="preserve"> [my emphasis], no liability to income tax arises in respect of it. </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The focus in the present case is in relation to payments upon termination of employment.</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 xml:space="preserve"> </w:t>
      </w:r>
      <w:r w:rsidR="009D072D" w:rsidRPr="00126113">
        <w:rPr>
          <w:rFonts w:ascii="Arial" w:eastAsia="Times New Roman" w:hAnsi="Arial" w:cs="Arial"/>
          <w:bCs/>
          <w:color w:val="000000"/>
          <w:sz w:val="24"/>
          <w:szCs w:val="24"/>
          <w:lang w:eastAsia="en-GB"/>
        </w:rPr>
        <w:t>It can been seen that by section 401 of the ITEPA,</w:t>
      </w:r>
      <w:r w:rsidR="009D072D" w:rsidRPr="00126113">
        <w:rPr>
          <w:rFonts w:ascii="Arial" w:eastAsia="Times New Roman" w:hAnsi="Arial" w:cs="Arial"/>
          <w:color w:val="000000"/>
          <w:sz w:val="24"/>
          <w:szCs w:val="24"/>
          <w:lang w:eastAsia="en-GB"/>
        </w:rPr>
        <w:t xml:space="preserve"> Chapter 3 of Part 6 also applies to payments and other benefits which are received directly or indirectly in consideration or in consequence of, or otherwise in connection with the termin</w:t>
      </w:r>
      <w:r w:rsidR="00147A03">
        <w:rPr>
          <w:rFonts w:ascii="Arial" w:eastAsia="Times New Roman" w:hAnsi="Arial" w:cs="Arial"/>
          <w:color w:val="000000"/>
          <w:sz w:val="24"/>
          <w:szCs w:val="24"/>
          <w:lang w:eastAsia="en-GB"/>
        </w:rPr>
        <w:t>ation of a person’s employment.</w:t>
      </w:r>
    </w:p>
    <w:p w:rsidR="009D072D" w:rsidRPr="00126113" w:rsidRDefault="009D072D" w:rsidP="00DA09E6">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rsidR="009D072D" w:rsidRPr="00126113" w:rsidRDefault="005947FB" w:rsidP="00DA09E6">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sidRPr="00126113">
        <w:rPr>
          <w:rFonts w:ascii="Arial" w:eastAsia="Times New Roman" w:hAnsi="Arial" w:cs="Arial"/>
          <w:color w:val="000000"/>
          <w:sz w:val="24"/>
          <w:szCs w:val="24"/>
          <w:lang w:eastAsia="en-GB"/>
        </w:rPr>
        <w:t>36.</w:t>
      </w:r>
      <w:r w:rsidRPr="00126113">
        <w:rPr>
          <w:rFonts w:ascii="Arial" w:eastAsia="Times New Roman" w:hAnsi="Arial" w:cs="Arial"/>
          <w:color w:val="000000"/>
          <w:sz w:val="24"/>
          <w:szCs w:val="24"/>
          <w:lang w:eastAsia="en-GB"/>
        </w:rPr>
        <w:tab/>
      </w:r>
      <w:r w:rsidR="009D072D" w:rsidRPr="00126113">
        <w:rPr>
          <w:rFonts w:ascii="Arial" w:eastAsia="Times New Roman" w:hAnsi="Arial" w:cs="Arial"/>
          <w:color w:val="000000"/>
          <w:sz w:val="24"/>
          <w:szCs w:val="24"/>
          <w:lang w:eastAsia="en-GB"/>
        </w:rPr>
        <w:t>I consider it arguable that the expression “as defined in section 7(3) of the ITEPA” appearing in regulation 55 of the UC Regulations has to be read in the light of section 8 of the ITEPA.</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 xml:space="preserve"> It is similarly arguable that any exemptions provided for at Chapter 3</w:t>
      </w:r>
      <w:r w:rsidR="009D072D" w:rsidRPr="00126113">
        <w:rPr>
          <w:rFonts w:ascii="Arial" w:hAnsi="Arial" w:cs="Arial"/>
          <w:sz w:val="24"/>
          <w:szCs w:val="24"/>
        </w:rPr>
        <w:t xml:space="preserve"> of Part 6 of the ITEPA would therefore </w:t>
      </w:r>
      <w:r w:rsidR="009D072D" w:rsidRPr="00126113">
        <w:rPr>
          <w:rFonts w:ascii="Arial" w:eastAsia="Times New Roman" w:hAnsi="Arial" w:cs="Arial"/>
          <w:color w:val="000000"/>
          <w:sz w:val="24"/>
          <w:szCs w:val="24"/>
          <w:lang w:eastAsia="en-GB"/>
        </w:rPr>
        <w:t xml:space="preserve">fall within the scope of the general expression “or elsewhere” appearing in section 8. </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For that reason, I have also given some consideration to Chapter 3.</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 xml:space="preserve"> Within that Chapter, it appears to me that specific attention is given to post-employment notice pay by section 402D of the ITEPA. </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 xml:space="preserve">It further appears to me, without having heard argument on the point, that pay in lieu of notice falls within the scope of post-employment notice pay as addressed in section 402D and is taxable. </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It is clear, in any event, that it does not fall within any of the exclusions set out in</w:t>
      </w:r>
      <w:r w:rsidR="00147A03">
        <w:rPr>
          <w:rFonts w:ascii="Arial" w:eastAsia="Times New Roman" w:hAnsi="Arial" w:cs="Arial"/>
          <w:color w:val="000000"/>
          <w:sz w:val="24"/>
          <w:szCs w:val="24"/>
          <w:lang w:eastAsia="en-GB"/>
        </w:rPr>
        <w:t xml:space="preserve"> sections 405-416 in Chapter 3.</w:t>
      </w:r>
    </w:p>
    <w:p w:rsidR="009D072D" w:rsidRPr="00126113" w:rsidRDefault="009D072D" w:rsidP="00DA09E6">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rsidR="009D072D" w:rsidRPr="00126113" w:rsidRDefault="005947FB" w:rsidP="00DA09E6">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sidRPr="00126113">
        <w:rPr>
          <w:rFonts w:ascii="Arial" w:eastAsia="Times New Roman" w:hAnsi="Arial" w:cs="Arial"/>
          <w:color w:val="000000"/>
          <w:sz w:val="24"/>
          <w:szCs w:val="24"/>
          <w:lang w:eastAsia="en-GB"/>
        </w:rPr>
        <w:t>37.</w:t>
      </w:r>
      <w:r w:rsidRPr="00126113">
        <w:rPr>
          <w:rFonts w:ascii="Arial" w:eastAsia="Times New Roman" w:hAnsi="Arial" w:cs="Arial"/>
          <w:color w:val="000000"/>
          <w:sz w:val="24"/>
          <w:szCs w:val="24"/>
          <w:lang w:eastAsia="en-GB"/>
        </w:rPr>
        <w:tab/>
      </w:r>
      <w:r w:rsidR="009D072D" w:rsidRPr="00126113">
        <w:rPr>
          <w:rFonts w:ascii="Arial" w:eastAsia="Times New Roman" w:hAnsi="Arial" w:cs="Arial"/>
          <w:color w:val="000000"/>
          <w:sz w:val="24"/>
          <w:szCs w:val="24"/>
          <w:lang w:eastAsia="en-GB"/>
        </w:rPr>
        <w:t xml:space="preserve">I cannot accept the submissions of Mr MacManus that the tribunal erred by adopting an unduly narrow interpretation of payments made upon termination of employment. </w:t>
      </w:r>
      <w:r w:rsidR="00147A03">
        <w:rPr>
          <w:rFonts w:ascii="Arial" w:eastAsia="Times New Roman" w:hAnsi="Arial" w:cs="Arial"/>
          <w:color w:val="000000"/>
          <w:sz w:val="24"/>
          <w:szCs w:val="24"/>
          <w:lang w:eastAsia="en-GB"/>
        </w:rPr>
        <w:t xml:space="preserve"> </w:t>
      </w:r>
      <w:r w:rsidR="009D072D" w:rsidRPr="00126113">
        <w:rPr>
          <w:rFonts w:ascii="Arial" w:eastAsia="Times New Roman" w:hAnsi="Arial" w:cs="Arial"/>
          <w:color w:val="000000"/>
          <w:sz w:val="24"/>
          <w:szCs w:val="24"/>
          <w:lang w:eastAsia="en-GB"/>
        </w:rPr>
        <w:t>It appears to me that the scope of such payments is defined within the ITEPA and that pay in lieu of notice is not an excluded payment made upon termination of employment. I consider that the tribunal was entitled to make the findings that it did within</w:t>
      </w:r>
      <w:r w:rsidR="00147A03">
        <w:rPr>
          <w:rFonts w:ascii="Arial" w:eastAsia="Times New Roman" w:hAnsi="Arial" w:cs="Arial"/>
          <w:color w:val="000000"/>
          <w:sz w:val="24"/>
          <w:szCs w:val="24"/>
          <w:lang w:eastAsia="en-GB"/>
        </w:rPr>
        <w:t xml:space="preserve"> the legislative framework.</w:t>
      </w:r>
    </w:p>
    <w:p w:rsidR="009D072D" w:rsidRPr="00126113" w:rsidRDefault="009D072D" w:rsidP="00DA09E6">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rsidR="009D072D" w:rsidRPr="00126113" w:rsidRDefault="005947FB" w:rsidP="00DA09E6">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sidRPr="00126113">
        <w:rPr>
          <w:rFonts w:ascii="Arial" w:eastAsia="Times New Roman" w:hAnsi="Arial" w:cs="Arial"/>
          <w:color w:val="000000"/>
          <w:sz w:val="24"/>
          <w:szCs w:val="24"/>
          <w:lang w:eastAsia="en-GB"/>
        </w:rPr>
        <w:t>38.</w:t>
      </w:r>
      <w:r w:rsidRPr="00126113">
        <w:rPr>
          <w:rFonts w:ascii="Arial" w:eastAsia="Times New Roman" w:hAnsi="Arial" w:cs="Arial"/>
          <w:color w:val="000000"/>
          <w:sz w:val="24"/>
          <w:szCs w:val="24"/>
          <w:lang w:eastAsia="en-GB"/>
        </w:rPr>
        <w:tab/>
      </w:r>
      <w:r w:rsidR="009D072D" w:rsidRPr="00126113">
        <w:rPr>
          <w:rFonts w:ascii="Arial" w:eastAsia="Times New Roman" w:hAnsi="Arial" w:cs="Arial"/>
          <w:color w:val="000000"/>
          <w:sz w:val="24"/>
          <w:szCs w:val="24"/>
          <w:lang w:eastAsia="en-GB"/>
        </w:rPr>
        <w:t>Therefore, I must dismiss the appeal.</w:t>
      </w:r>
    </w:p>
    <w:p w:rsidR="005947FB" w:rsidRPr="00126113" w:rsidRDefault="005947FB" w:rsidP="00DA09E6">
      <w:pPr>
        <w:spacing w:after="0" w:line="240" w:lineRule="auto"/>
        <w:rPr>
          <w:rFonts w:ascii="Arial" w:eastAsia="Times New Roman" w:hAnsi="Arial" w:cs="Arial"/>
          <w:color w:val="000000"/>
          <w:sz w:val="24"/>
          <w:szCs w:val="24"/>
          <w:lang w:eastAsia="en-GB"/>
        </w:rPr>
      </w:pPr>
    </w:p>
    <w:p w:rsidR="005947FB" w:rsidRPr="00126113" w:rsidRDefault="005947FB" w:rsidP="00DA09E6">
      <w:pPr>
        <w:spacing w:after="0" w:line="240" w:lineRule="auto"/>
        <w:rPr>
          <w:rFonts w:ascii="Arial" w:eastAsia="Times New Roman" w:hAnsi="Arial" w:cs="Arial"/>
          <w:color w:val="000000"/>
          <w:sz w:val="24"/>
          <w:szCs w:val="24"/>
          <w:lang w:eastAsia="en-GB"/>
        </w:rPr>
      </w:pPr>
    </w:p>
    <w:p w:rsidR="005947FB" w:rsidRPr="00147A03" w:rsidRDefault="005947FB" w:rsidP="00DA09E6">
      <w:pPr>
        <w:spacing w:after="0" w:line="240" w:lineRule="auto"/>
        <w:rPr>
          <w:rFonts w:ascii="Arial" w:eastAsia="Times New Roman" w:hAnsi="Arial" w:cs="Arial"/>
          <w:color w:val="000000"/>
          <w:sz w:val="24"/>
          <w:szCs w:val="24"/>
          <w:lang w:eastAsia="en-GB"/>
        </w:rPr>
      </w:pPr>
      <w:r w:rsidRPr="00126113">
        <w:rPr>
          <w:rFonts w:ascii="Arial" w:eastAsia="Times New Roman" w:hAnsi="Arial" w:cs="Arial"/>
          <w:color w:val="000000"/>
          <w:sz w:val="24"/>
          <w:szCs w:val="24"/>
          <w:lang w:eastAsia="en-GB"/>
        </w:rPr>
        <w:t>(signed)</w:t>
      </w:r>
      <w:r w:rsidR="00147A03">
        <w:rPr>
          <w:rFonts w:ascii="Arial" w:eastAsia="Times New Roman" w:hAnsi="Arial" w:cs="Arial"/>
          <w:color w:val="000000"/>
          <w:sz w:val="24"/>
          <w:szCs w:val="24"/>
          <w:lang w:eastAsia="en-GB"/>
        </w:rPr>
        <w:t xml:space="preserve">:  </w:t>
      </w:r>
      <w:r w:rsidRPr="00147A03">
        <w:rPr>
          <w:rFonts w:ascii="Arial" w:eastAsia="Times New Roman" w:hAnsi="Arial" w:cs="Arial"/>
          <w:color w:val="000000"/>
          <w:sz w:val="24"/>
          <w:szCs w:val="24"/>
          <w:lang w:eastAsia="en-GB"/>
        </w:rPr>
        <w:t>O Stockman</w:t>
      </w:r>
    </w:p>
    <w:p w:rsidR="00147A03" w:rsidRPr="00147A03" w:rsidRDefault="00147A03" w:rsidP="00DA09E6">
      <w:pPr>
        <w:spacing w:after="0" w:line="240" w:lineRule="auto"/>
        <w:rPr>
          <w:rFonts w:ascii="Arial" w:eastAsia="Times New Roman" w:hAnsi="Arial" w:cs="Arial"/>
          <w:color w:val="000000"/>
          <w:sz w:val="24"/>
          <w:szCs w:val="24"/>
          <w:lang w:eastAsia="en-GB"/>
        </w:rPr>
      </w:pPr>
    </w:p>
    <w:p w:rsidR="005947FB" w:rsidRPr="00147A03" w:rsidRDefault="005947FB" w:rsidP="00DA09E6">
      <w:pPr>
        <w:spacing w:after="0" w:line="240" w:lineRule="auto"/>
        <w:rPr>
          <w:rFonts w:ascii="Arial" w:eastAsia="Times New Roman" w:hAnsi="Arial" w:cs="Arial"/>
          <w:color w:val="000000"/>
          <w:sz w:val="24"/>
          <w:szCs w:val="24"/>
          <w:lang w:eastAsia="en-GB"/>
        </w:rPr>
      </w:pPr>
      <w:r w:rsidRPr="00147A03">
        <w:rPr>
          <w:rFonts w:ascii="Arial" w:eastAsia="Times New Roman" w:hAnsi="Arial" w:cs="Arial"/>
          <w:color w:val="000000"/>
          <w:sz w:val="24"/>
          <w:szCs w:val="24"/>
          <w:lang w:eastAsia="en-GB"/>
        </w:rPr>
        <w:t>Commissioner</w:t>
      </w:r>
    </w:p>
    <w:p w:rsidR="005947FB" w:rsidRDefault="005947FB" w:rsidP="00DA09E6">
      <w:pPr>
        <w:spacing w:after="0" w:line="240" w:lineRule="auto"/>
        <w:rPr>
          <w:rFonts w:ascii="Arial" w:eastAsia="Times New Roman" w:hAnsi="Arial" w:cs="Arial"/>
          <w:color w:val="000000"/>
          <w:sz w:val="24"/>
          <w:szCs w:val="24"/>
          <w:lang w:eastAsia="en-GB"/>
        </w:rPr>
      </w:pPr>
    </w:p>
    <w:p w:rsidR="00147A03" w:rsidRDefault="00147A03" w:rsidP="00DA09E6">
      <w:pPr>
        <w:spacing w:after="0" w:line="240" w:lineRule="auto"/>
        <w:rPr>
          <w:rFonts w:ascii="Arial" w:eastAsia="Times New Roman" w:hAnsi="Arial" w:cs="Arial"/>
          <w:color w:val="000000"/>
          <w:sz w:val="24"/>
          <w:szCs w:val="24"/>
          <w:lang w:eastAsia="en-GB"/>
        </w:rPr>
      </w:pPr>
    </w:p>
    <w:p w:rsidR="00147A03" w:rsidRPr="00147A03" w:rsidRDefault="00147A03" w:rsidP="00DA09E6">
      <w:pPr>
        <w:spacing w:after="0" w:line="240" w:lineRule="auto"/>
        <w:rPr>
          <w:rFonts w:ascii="Arial" w:eastAsia="Times New Roman" w:hAnsi="Arial" w:cs="Arial"/>
          <w:color w:val="000000"/>
          <w:sz w:val="24"/>
          <w:szCs w:val="24"/>
          <w:lang w:eastAsia="en-GB"/>
        </w:rPr>
      </w:pPr>
    </w:p>
    <w:p w:rsidR="009D072D" w:rsidRPr="00126113" w:rsidRDefault="005947FB" w:rsidP="00DA09E6">
      <w:pPr>
        <w:spacing w:after="0" w:line="240" w:lineRule="auto"/>
        <w:rPr>
          <w:rFonts w:ascii="Arial" w:hAnsi="Arial" w:cs="Arial"/>
          <w:sz w:val="24"/>
          <w:szCs w:val="24"/>
          <w:lang w:val="en-US"/>
        </w:rPr>
      </w:pPr>
      <w:r w:rsidRPr="00147A03">
        <w:rPr>
          <w:rFonts w:ascii="Arial" w:eastAsia="Times New Roman" w:hAnsi="Arial" w:cs="Arial"/>
          <w:color w:val="000000"/>
          <w:sz w:val="24"/>
          <w:szCs w:val="24"/>
          <w:lang w:eastAsia="en-GB"/>
        </w:rPr>
        <w:t>8 December 2021</w:t>
      </w:r>
    </w:p>
    <w:sectPr w:rsidR="009D072D" w:rsidRPr="00126113" w:rsidSect="00CC02BF">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FBC" w:rsidRDefault="00A76FBC" w:rsidP="009D072D">
      <w:pPr>
        <w:spacing w:after="0" w:line="240" w:lineRule="auto"/>
      </w:pPr>
      <w:r>
        <w:separator/>
      </w:r>
    </w:p>
  </w:endnote>
  <w:endnote w:type="continuationSeparator" w:id="0">
    <w:p w:rsidR="00A76FBC" w:rsidRDefault="00A76FBC" w:rsidP="009D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2D" w:rsidRPr="00B72166" w:rsidRDefault="009D072D" w:rsidP="00B72166">
    <w:pPr>
      <w:pStyle w:val="Footer"/>
      <w:jc w:val="center"/>
      <w:rPr>
        <w:rFonts w:ascii="Arial" w:hAnsi="Arial" w:cs="Arial"/>
        <w:sz w:val="24"/>
        <w:szCs w:val="24"/>
      </w:rPr>
    </w:pPr>
    <w:r w:rsidRPr="00B72166">
      <w:rPr>
        <w:rFonts w:ascii="Arial" w:hAnsi="Arial" w:cs="Arial"/>
        <w:sz w:val="24"/>
        <w:szCs w:val="24"/>
      </w:rPr>
      <w:fldChar w:fldCharType="begin"/>
    </w:r>
    <w:r w:rsidRPr="00B72166">
      <w:rPr>
        <w:rFonts w:ascii="Arial" w:hAnsi="Arial" w:cs="Arial"/>
        <w:sz w:val="24"/>
        <w:szCs w:val="24"/>
      </w:rPr>
      <w:instrText xml:space="preserve"> PAGE   \* MERGEFORMAT </w:instrText>
    </w:r>
    <w:r w:rsidRPr="00B72166">
      <w:rPr>
        <w:rFonts w:ascii="Arial" w:hAnsi="Arial" w:cs="Arial"/>
        <w:sz w:val="24"/>
        <w:szCs w:val="24"/>
      </w:rPr>
      <w:fldChar w:fldCharType="separate"/>
    </w:r>
    <w:r w:rsidR="00A76FBC">
      <w:rPr>
        <w:rFonts w:ascii="Arial" w:hAnsi="Arial" w:cs="Arial"/>
        <w:noProof/>
        <w:sz w:val="24"/>
        <w:szCs w:val="24"/>
      </w:rPr>
      <w:t>1</w:t>
    </w:r>
    <w:r w:rsidRPr="00B72166">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FBC" w:rsidRDefault="00A76FBC" w:rsidP="009D072D">
      <w:pPr>
        <w:spacing w:after="0" w:line="240" w:lineRule="auto"/>
      </w:pPr>
      <w:r>
        <w:separator/>
      </w:r>
    </w:p>
  </w:footnote>
  <w:footnote w:type="continuationSeparator" w:id="0">
    <w:p w:rsidR="00A76FBC" w:rsidRDefault="00A76FBC" w:rsidP="009D07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26B7"/>
    <w:multiLevelType w:val="hybridMultilevel"/>
    <w:tmpl w:val="456829E4"/>
    <w:lvl w:ilvl="0" w:tplc="EC8657AC">
      <w:start w:val="35"/>
      <w:numFmt w:val="decimal"/>
      <w:lvlText w:val="%1."/>
      <w:lvlJc w:val="left"/>
      <w:pPr>
        <w:ind w:left="684" w:hanging="567"/>
      </w:pPr>
      <w:rPr>
        <w:rFonts w:ascii="Times New Roman" w:eastAsia="Times New Roman" w:hAnsi="Times New Roman" w:cs="Times New Roman" w:hint="default"/>
        <w:spacing w:val="-3"/>
        <w:w w:val="99"/>
        <w:sz w:val="24"/>
        <w:szCs w:val="24"/>
        <w:lang w:val="en-GB" w:eastAsia="en-GB" w:bidi="en-GB"/>
      </w:rPr>
    </w:lvl>
    <w:lvl w:ilvl="1" w:tplc="B29C87B0">
      <w:start w:val="1"/>
      <w:numFmt w:val="decimal"/>
      <w:lvlText w:val="%2."/>
      <w:lvlJc w:val="left"/>
      <w:pPr>
        <w:ind w:left="528" w:hanging="240"/>
      </w:pPr>
      <w:rPr>
        <w:rFonts w:ascii="Times New Roman" w:eastAsia="Times New Roman" w:hAnsi="Times New Roman" w:cs="Times New Roman" w:hint="default"/>
        <w:b/>
        <w:bCs/>
        <w:w w:val="100"/>
        <w:sz w:val="24"/>
        <w:szCs w:val="24"/>
        <w:lang w:val="en-GB" w:eastAsia="en-GB" w:bidi="en-GB"/>
      </w:rPr>
    </w:lvl>
    <w:lvl w:ilvl="2" w:tplc="A976B3C8">
      <w:start w:val="1"/>
      <w:numFmt w:val="lowerLetter"/>
      <w:lvlText w:val="(%3)"/>
      <w:lvlJc w:val="left"/>
      <w:pPr>
        <w:ind w:left="854" w:hanging="396"/>
      </w:pPr>
      <w:rPr>
        <w:rFonts w:ascii="Calibri" w:eastAsia="Times New Roman" w:hAnsi="Calibri" w:cs="Calibri" w:hint="default"/>
        <w:spacing w:val="-4"/>
        <w:w w:val="99"/>
        <w:sz w:val="22"/>
        <w:szCs w:val="22"/>
        <w:lang w:val="en-GB" w:eastAsia="en-GB" w:bidi="en-GB"/>
      </w:rPr>
    </w:lvl>
    <w:lvl w:ilvl="3" w:tplc="12708FEE">
      <w:numFmt w:val="bullet"/>
      <w:lvlText w:val="•"/>
      <w:lvlJc w:val="left"/>
      <w:pPr>
        <w:ind w:left="1868" w:hanging="396"/>
      </w:pPr>
      <w:rPr>
        <w:lang w:val="en-GB" w:eastAsia="en-GB" w:bidi="en-GB"/>
      </w:rPr>
    </w:lvl>
    <w:lvl w:ilvl="4" w:tplc="7350672E">
      <w:start w:val="1"/>
      <w:numFmt w:val="lowerLetter"/>
      <w:lvlText w:val="(%5)"/>
      <w:lvlJc w:val="left"/>
      <w:pPr>
        <w:ind w:left="2876" w:hanging="396"/>
      </w:pPr>
      <w:rPr>
        <w:rFonts w:ascii="Calibri" w:eastAsia="Times New Roman" w:hAnsi="Calibri" w:cs="Calibri" w:hint="default"/>
        <w:spacing w:val="-3"/>
        <w:w w:val="99"/>
        <w:sz w:val="22"/>
        <w:szCs w:val="22"/>
        <w:lang w:val="en-GB" w:eastAsia="en-GB" w:bidi="en-GB"/>
      </w:rPr>
    </w:lvl>
    <w:lvl w:ilvl="5" w:tplc="2892EDBE">
      <w:numFmt w:val="bullet"/>
      <w:lvlText w:val="•"/>
      <w:lvlJc w:val="left"/>
      <w:pPr>
        <w:ind w:left="3884" w:hanging="396"/>
      </w:pPr>
      <w:rPr>
        <w:lang w:val="en-GB" w:eastAsia="en-GB" w:bidi="en-GB"/>
      </w:rPr>
    </w:lvl>
    <w:lvl w:ilvl="6" w:tplc="4B08F8DE">
      <w:numFmt w:val="bullet"/>
      <w:lvlText w:val="•"/>
      <w:lvlJc w:val="left"/>
      <w:pPr>
        <w:ind w:left="4893" w:hanging="396"/>
      </w:pPr>
      <w:rPr>
        <w:lang w:val="en-GB" w:eastAsia="en-GB" w:bidi="en-GB"/>
      </w:rPr>
    </w:lvl>
    <w:lvl w:ilvl="7" w:tplc="1A466008">
      <w:numFmt w:val="bullet"/>
      <w:lvlText w:val="•"/>
      <w:lvlJc w:val="left"/>
      <w:pPr>
        <w:ind w:left="5901" w:hanging="396"/>
      </w:pPr>
      <w:rPr>
        <w:lang w:val="en-GB" w:eastAsia="en-GB" w:bidi="en-GB"/>
      </w:rPr>
    </w:lvl>
    <w:lvl w:ilvl="8" w:tplc="AF1E998A">
      <w:numFmt w:val="bullet"/>
      <w:lvlText w:val="•"/>
      <w:lvlJc w:val="left"/>
      <w:pPr>
        <w:ind w:left="6909" w:hanging="396"/>
      </w:pPr>
      <w:rPr>
        <w:lang w:val="en-GB" w:eastAsia="en-GB" w:bidi="en-GB"/>
      </w:rPr>
    </w:lvl>
  </w:abstractNum>
  <w:abstractNum w:abstractNumId="1" w15:restartNumberingAfterBreak="0">
    <w:nsid w:val="174C035C"/>
    <w:multiLevelType w:val="hybridMultilevel"/>
    <w:tmpl w:val="6512DAFC"/>
    <w:lvl w:ilvl="0" w:tplc="4BC41F86">
      <w:start w:val="2"/>
      <w:numFmt w:val="decimal"/>
      <w:lvlText w:val="(%1)"/>
      <w:lvlJc w:val="left"/>
      <w:pPr>
        <w:ind w:left="634" w:hanging="346"/>
      </w:pPr>
      <w:rPr>
        <w:rFonts w:ascii="Calibri" w:eastAsia="Times New Roman" w:hAnsi="Calibri" w:cs="Calibri" w:hint="default"/>
        <w:w w:val="99"/>
        <w:sz w:val="22"/>
        <w:szCs w:val="22"/>
        <w:lang w:val="en-GB" w:eastAsia="en-GB" w:bidi="en-GB"/>
      </w:rPr>
    </w:lvl>
    <w:lvl w:ilvl="1" w:tplc="D5441CF2">
      <w:start w:val="1"/>
      <w:numFmt w:val="lowerLetter"/>
      <w:lvlText w:val="(%2)"/>
      <w:lvlJc w:val="left"/>
      <w:pPr>
        <w:ind w:left="854" w:hanging="396"/>
      </w:pPr>
      <w:rPr>
        <w:rFonts w:ascii="Calibri" w:eastAsia="Times New Roman" w:hAnsi="Calibri" w:cs="Calibri" w:hint="default"/>
        <w:spacing w:val="-3"/>
        <w:w w:val="99"/>
        <w:sz w:val="22"/>
        <w:szCs w:val="22"/>
        <w:lang w:val="en-GB" w:eastAsia="en-GB" w:bidi="en-GB"/>
      </w:rPr>
    </w:lvl>
    <w:lvl w:ilvl="2" w:tplc="7350672E">
      <w:start w:val="1"/>
      <w:numFmt w:val="lowerLetter"/>
      <w:lvlText w:val="(%3)"/>
      <w:lvlJc w:val="left"/>
      <w:pPr>
        <w:ind w:left="1756" w:hanging="396"/>
      </w:pPr>
      <w:rPr>
        <w:rFonts w:ascii="Calibri" w:eastAsia="Times New Roman" w:hAnsi="Calibri" w:cs="Calibri" w:hint="default"/>
        <w:spacing w:val="-3"/>
        <w:w w:val="99"/>
        <w:sz w:val="22"/>
        <w:szCs w:val="22"/>
        <w:lang w:val="en-GB" w:eastAsia="en-GB" w:bidi="en-GB"/>
      </w:rPr>
    </w:lvl>
    <w:lvl w:ilvl="3" w:tplc="7350672E">
      <w:start w:val="1"/>
      <w:numFmt w:val="lowerLetter"/>
      <w:lvlText w:val="(%4)"/>
      <w:lvlJc w:val="left"/>
      <w:pPr>
        <w:ind w:left="2652" w:hanging="396"/>
      </w:pPr>
      <w:rPr>
        <w:rFonts w:ascii="Calibri" w:eastAsia="Times New Roman" w:hAnsi="Calibri" w:cs="Calibri" w:hint="default"/>
        <w:spacing w:val="-3"/>
        <w:w w:val="99"/>
        <w:sz w:val="22"/>
        <w:szCs w:val="22"/>
        <w:lang w:val="en-GB" w:eastAsia="en-GB" w:bidi="en-GB"/>
      </w:rPr>
    </w:lvl>
    <w:lvl w:ilvl="4" w:tplc="EAE85CD2">
      <w:numFmt w:val="bullet"/>
      <w:lvlText w:val="•"/>
      <w:lvlJc w:val="left"/>
      <w:pPr>
        <w:ind w:left="3548" w:hanging="396"/>
      </w:pPr>
      <w:rPr>
        <w:lang w:val="en-GB" w:eastAsia="en-GB" w:bidi="en-GB"/>
      </w:rPr>
    </w:lvl>
    <w:lvl w:ilvl="5" w:tplc="49DCE1BE">
      <w:numFmt w:val="bullet"/>
      <w:lvlText w:val="•"/>
      <w:lvlJc w:val="left"/>
      <w:pPr>
        <w:ind w:left="4445" w:hanging="396"/>
      </w:pPr>
      <w:rPr>
        <w:lang w:val="en-GB" w:eastAsia="en-GB" w:bidi="en-GB"/>
      </w:rPr>
    </w:lvl>
    <w:lvl w:ilvl="6" w:tplc="EBCC807C">
      <w:numFmt w:val="bullet"/>
      <w:lvlText w:val="•"/>
      <w:lvlJc w:val="left"/>
      <w:pPr>
        <w:ind w:left="5341" w:hanging="396"/>
      </w:pPr>
      <w:rPr>
        <w:lang w:val="en-GB" w:eastAsia="en-GB" w:bidi="en-GB"/>
      </w:rPr>
    </w:lvl>
    <w:lvl w:ilvl="7" w:tplc="B5BC5E3C">
      <w:numFmt w:val="bullet"/>
      <w:lvlText w:val="•"/>
      <w:lvlJc w:val="left"/>
      <w:pPr>
        <w:ind w:left="6237" w:hanging="396"/>
      </w:pPr>
      <w:rPr>
        <w:lang w:val="en-GB" w:eastAsia="en-GB" w:bidi="en-GB"/>
      </w:rPr>
    </w:lvl>
    <w:lvl w:ilvl="8" w:tplc="82F44174">
      <w:numFmt w:val="bullet"/>
      <w:lvlText w:val="•"/>
      <w:lvlJc w:val="left"/>
      <w:pPr>
        <w:ind w:left="7133" w:hanging="396"/>
      </w:pPr>
      <w:rPr>
        <w:lang w:val="en-GB" w:eastAsia="en-GB" w:bidi="en-GB"/>
      </w:rPr>
    </w:lvl>
  </w:abstractNum>
  <w:abstractNum w:abstractNumId="2" w15:restartNumberingAfterBreak="0">
    <w:nsid w:val="1D963BBB"/>
    <w:multiLevelType w:val="hybridMultilevel"/>
    <w:tmpl w:val="D3E0C8EE"/>
    <w:lvl w:ilvl="0" w:tplc="1D209ECE">
      <w:start w:val="9"/>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3" w15:restartNumberingAfterBreak="0">
    <w:nsid w:val="395F3A05"/>
    <w:multiLevelType w:val="hybridMultilevel"/>
    <w:tmpl w:val="841E001A"/>
    <w:lvl w:ilvl="0" w:tplc="8ABCE35A">
      <w:start w:val="1"/>
      <w:numFmt w:val="decimal"/>
      <w:lvlText w:val="(%1)"/>
      <w:lvlJc w:val="left"/>
      <w:pPr>
        <w:ind w:left="878" w:hanging="346"/>
      </w:pPr>
      <w:rPr>
        <w:rFonts w:ascii="Calibri" w:eastAsia="Times New Roman" w:hAnsi="Calibri" w:cs="Calibri" w:hint="default"/>
        <w:w w:val="99"/>
        <w:sz w:val="22"/>
        <w:szCs w:val="22"/>
        <w:lang w:val="en-GB" w:eastAsia="en-GB" w:bidi="en-GB"/>
      </w:rPr>
    </w:lvl>
    <w:lvl w:ilvl="1" w:tplc="D592D48C">
      <w:start w:val="1"/>
      <w:numFmt w:val="lowerLetter"/>
      <w:lvlText w:val="(%2)"/>
      <w:lvlJc w:val="left"/>
      <w:pPr>
        <w:ind w:left="1098" w:hanging="396"/>
      </w:pPr>
      <w:rPr>
        <w:rFonts w:ascii="Calibri" w:eastAsia="Times New Roman" w:hAnsi="Calibri" w:cs="Calibri" w:hint="default"/>
        <w:spacing w:val="-2"/>
        <w:w w:val="99"/>
        <w:sz w:val="22"/>
        <w:szCs w:val="22"/>
        <w:lang w:val="en-GB" w:eastAsia="en-GB" w:bidi="en-GB"/>
      </w:rPr>
    </w:lvl>
    <w:lvl w:ilvl="2" w:tplc="9864DA1E">
      <w:numFmt w:val="bullet"/>
      <w:lvlText w:val="•"/>
      <w:lvlJc w:val="left"/>
      <w:pPr>
        <w:ind w:left="2000" w:hanging="396"/>
      </w:pPr>
      <w:rPr>
        <w:lang w:val="en-GB" w:eastAsia="en-GB" w:bidi="en-GB"/>
      </w:rPr>
    </w:lvl>
    <w:lvl w:ilvl="3" w:tplc="74D0BCCA">
      <w:numFmt w:val="bullet"/>
      <w:lvlText w:val="•"/>
      <w:lvlJc w:val="left"/>
      <w:pPr>
        <w:ind w:left="2896" w:hanging="396"/>
      </w:pPr>
      <w:rPr>
        <w:lang w:val="en-GB" w:eastAsia="en-GB" w:bidi="en-GB"/>
      </w:rPr>
    </w:lvl>
    <w:lvl w:ilvl="4" w:tplc="2F842FB6">
      <w:numFmt w:val="bullet"/>
      <w:lvlText w:val="•"/>
      <w:lvlJc w:val="left"/>
      <w:pPr>
        <w:ind w:left="3792" w:hanging="396"/>
      </w:pPr>
      <w:rPr>
        <w:lang w:val="en-GB" w:eastAsia="en-GB" w:bidi="en-GB"/>
      </w:rPr>
    </w:lvl>
    <w:lvl w:ilvl="5" w:tplc="D7AC9842">
      <w:numFmt w:val="bullet"/>
      <w:lvlText w:val="•"/>
      <w:lvlJc w:val="left"/>
      <w:pPr>
        <w:ind w:left="4689" w:hanging="396"/>
      </w:pPr>
      <w:rPr>
        <w:lang w:val="en-GB" w:eastAsia="en-GB" w:bidi="en-GB"/>
      </w:rPr>
    </w:lvl>
    <w:lvl w:ilvl="6" w:tplc="9BEE80CC">
      <w:numFmt w:val="bullet"/>
      <w:lvlText w:val="•"/>
      <w:lvlJc w:val="left"/>
      <w:pPr>
        <w:ind w:left="5585" w:hanging="396"/>
      </w:pPr>
      <w:rPr>
        <w:lang w:val="en-GB" w:eastAsia="en-GB" w:bidi="en-GB"/>
      </w:rPr>
    </w:lvl>
    <w:lvl w:ilvl="7" w:tplc="7E0ABF0E">
      <w:numFmt w:val="bullet"/>
      <w:lvlText w:val="•"/>
      <w:lvlJc w:val="left"/>
      <w:pPr>
        <w:ind w:left="6481" w:hanging="396"/>
      </w:pPr>
      <w:rPr>
        <w:lang w:val="en-GB" w:eastAsia="en-GB" w:bidi="en-GB"/>
      </w:rPr>
    </w:lvl>
    <w:lvl w:ilvl="8" w:tplc="248C592E">
      <w:numFmt w:val="bullet"/>
      <w:lvlText w:val="•"/>
      <w:lvlJc w:val="left"/>
      <w:pPr>
        <w:ind w:left="7377" w:hanging="396"/>
      </w:pPr>
      <w:rPr>
        <w:lang w:val="en-GB" w:eastAsia="en-GB" w:bidi="en-GB"/>
      </w:rPr>
    </w:lvl>
  </w:abstractNum>
  <w:abstractNum w:abstractNumId="4" w15:restartNumberingAfterBreak="0">
    <w:nsid w:val="56A52DBB"/>
    <w:multiLevelType w:val="hybridMultilevel"/>
    <w:tmpl w:val="0764D22E"/>
    <w:lvl w:ilvl="0" w:tplc="4E0C7B34">
      <w:start w:val="1"/>
      <w:numFmt w:val="decimal"/>
      <w:lvlText w:val="(%1)"/>
      <w:lvlJc w:val="left"/>
      <w:pPr>
        <w:ind w:left="950" w:hanging="360"/>
      </w:pPr>
      <w:rPr>
        <w:rFonts w:hint="default"/>
      </w:rPr>
    </w:lvl>
    <w:lvl w:ilvl="1" w:tplc="08090019" w:tentative="1">
      <w:start w:val="1"/>
      <w:numFmt w:val="lowerLetter"/>
      <w:lvlText w:val="%2."/>
      <w:lvlJc w:val="left"/>
      <w:pPr>
        <w:ind w:left="1670" w:hanging="360"/>
      </w:pPr>
    </w:lvl>
    <w:lvl w:ilvl="2" w:tplc="0809001B" w:tentative="1">
      <w:start w:val="1"/>
      <w:numFmt w:val="lowerRoman"/>
      <w:lvlText w:val="%3."/>
      <w:lvlJc w:val="right"/>
      <w:pPr>
        <w:ind w:left="2390" w:hanging="180"/>
      </w:pPr>
    </w:lvl>
    <w:lvl w:ilvl="3" w:tplc="0809000F" w:tentative="1">
      <w:start w:val="1"/>
      <w:numFmt w:val="decimal"/>
      <w:lvlText w:val="%4."/>
      <w:lvlJc w:val="left"/>
      <w:pPr>
        <w:ind w:left="3110" w:hanging="360"/>
      </w:pPr>
    </w:lvl>
    <w:lvl w:ilvl="4" w:tplc="08090019" w:tentative="1">
      <w:start w:val="1"/>
      <w:numFmt w:val="lowerLetter"/>
      <w:lvlText w:val="%5."/>
      <w:lvlJc w:val="left"/>
      <w:pPr>
        <w:ind w:left="3830" w:hanging="360"/>
      </w:pPr>
    </w:lvl>
    <w:lvl w:ilvl="5" w:tplc="0809001B" w:tentative="1">
      <w:start w:val="1"/>
      <w:numFmt w:val="lowerRoman"/>
      <w:lvlText w:val="%6."/>
      <w:lvlJc w:val="right"/>
      <w:pPr>
        <w:ind w:left="4550" w:hanging="180"/>
      </w:pPr>
    </w:lvl>
    <w:lvl w:ilvl="6" w:tplc="0809000F" w:tentative="1">
      <w:start w:val="1"/>
      <w:numFmt w:val="decimal"/>
      <w:lvlText w:val="%7."/>
      <w:lvlJc w:val="left"/>
      <w:pPr>
        <w:ind w:left="5270" w:hanging="360"/>
      </w:pPr>
    </w:lvl>
    <w:lvl w:ilvl="7" w:tplc="08090019" w:tentative="1">
      <w:start w:val="1"/>
      <w:numFmt w:val="lowerLetter"/>
      <w:lvlText w:val="%8."/>
      <w:lvlJc w:val="left"/>
      <w:pPr>
        <w:ind w:left="5990" w:hanging="360"/>
      </w:pPr>
    </w:lvl>
    <w:lvl w:ilvl="8" w:tplc="0809001B" w:tentative="1">
      <w:start w:val="1"/>
      <w:numFmt w:val="lowerRoman"/>
      <w:lvlText w:val="%9."/>
      <w:lvlJc w:val="right"/>
      <w:pPr>
        <w:ind w:left="6710" w:hanging="180"/>
      </w:pPr>
    </w:lvl>
  </w:abstractNum>
  <w:abstractNum w:abstractNumId="5" w15:restartNumberingAfterBreak="0">
    <w:nsid w:val="61566233"/>
    <w:multiLevelType w:val="hybridMultilevel"/>
    <w:tmpl w:val="1294051C"/>
    <w:lvl w:ilvl="0" w:tplc="8ABCE35A">
      <w:start w:val="1"/>
      <w:numFmt w:val="decimal"/>
      <w:lvlText w:val="(%1)"/>
      <w:lvlJc w:val="left"/>
      <w:pPr>
        <w:ind w:left="488" w:hanging="346"/>
      </w:pPr>
      <w:rPr>
        <w:rFonts w:ascii="Calibri" w:eastAsia="Times New Roman" w:hAnsi="Calibri" w:cs="Calibri" w:hint="default"/>
        <w:w w:val="99"/>
        <w:sz w:val="22"/>
        <w:szCs w:val="22"/>
        <w:lang w:val="en-GB" w:eastAsia="en-GB" w:bidi="en-GB"/>
      </w:rPr>
    </w:lvl>
    <w:lvl w:ilvl="1" w:tplc="D592D48C">
      <w:start w:val="1"/>
      <w:numFmt w:val="lowerLetter"/>
      <w:lvlText w:val="(%2)"/>
      <w:lvlJc w:val="left"/>
      <w:pPr>
        <w:ind w:left="708" w:hanging="396"/>
      </w:pPr>
      <w:rPr>
        <w:rFonts w:ascii="Calibri" w:eastAsia="Times New Roman" w:hAnsi="Calibri" w:cs="Calibri" w:hint="default"/>
        <w:spacing w:val="-2"/>
        <w:w w:val="99"/>
        <w:sz w:val="22"/>
        <w:szCs w:val="22"/>
        <w:lang w:val="en-GB" w:eastAsia="en-GB" w:bidi="en-GB"/>
      </w:rPr>
    </w:lvl>
    <w:lvl w:ilvl="2" w:tplc="9864DA1E">
      <w:numFmt w:val="bullet"/>
      <w:lvlText w:val="•"/>
      <w:lvlJc w:val="left"/>
      <w:pPr>
        <w:ind w:left="1610" w:hanging="396"/>
      </w:pPr>
      <w:rPr>
        <w:lang w:val="en-GB" w:eastAsia="en-GB" w:bidi="en-GB"/>
      </w:rPr>
    </w:lvl>
    <w:lvl w:ilvl="3" w:tplc="7350672E">
      <w:start w:val="1"/>
      <w:numFmt w:val="lowerLetter"/>
      <w:lvlText w:val="(%4)"/>
      <w:lvlJc w:val="left"/>
      <w:pPr>
        <w:ind w:left="2506" w:hanging="396"/>
      </w:pPr>
      <w:rPr>
        <w:rFonts w:ascii="Calibri" w:eastAsia="Times New Roman" w:hAnsi="Calibri" w:cs="Calibri" w:hint="default"/>
        <w:spacing w:val="-3"/>
        <w:w w:val="99"/>
        <w:sz w:val="22"/>
        <w:szCs w:val="22"/>
        <w:lang w:val="en-GB" w:eastAsia="en-GB" w:bidi="en-GB"/>
      </w:rPr>
    </w:lvl>
    <w:lvl w:ilvl="4" w:tplc="2F842FB6">
      <w:numFmt w:val="bullet"/>
      <w:lvlText w:val="•"/>
      <w:lvlJc w:val="left"/>
      <w:pPr>
        <w:ind w:left="3402" w:hanging="396"/>
      </w:pPr>
      <w:rPr>
        <w:lang w:val="en-GB" w:eastAsia="en-GB" w:bidi="en-GB"/>
      </w:rPr>
    </w:lvl>
    <w:lvl w:ilvl="5" w:tplc="D7AC9842">
      <w:numFmt w:val="bullet"/>
      <w:lvlText w:val="•"/>
      <w:lvlJc w:val="left"/>
      <w:pPr>
        <w:ind w:left="4299" w:hanging="396"/>
      </w:pPr>
      <w:rPr>
        <w:lang w:val="en-GB" w:eastAsia="en-GB" w:bidi="en-GB"/>
      </w:rPr>
    </w:lvl>
    <w:lvl w:ilvl="6" w:tplc="9BEE80CC">
      <w:numFmt w:val="bullet"/>
      <w:lvlText w:val="•"/>
      <w:lvlJc w:val="left"/>
      <w:pPr>
        <w:ind w:left="5195" w:hanging="396"/>
      </w:pPr>
      <w:rPr>
        <w:lang w:val="en-GB" w:eastAsia="en-GB" w:bidi="en-GB"/>
      </w:rPr>
    </w:lvl>
    <w:lvl w:ilvl="7" w:tplc="7E0ABF0E">
      <w:numFmt w:val="bullet"/>
      <w:lvlText w:val="•"/>
      <w:lvlJc w:val="left"/>
      <w:pPr>
        <w:ind w:left="6091" w:hanging="396"/>
      </w:pPr>
      <w:rPr>
        <w:lang w:val="en-GB" w:eastAsia="en-GB" w:bidi="en-GB"/>
      </w:rPr>
    </w:lvl>
    <w:lvl w:ilvl="8" w:tplc="248C592E">
      <w:numFmt w:val="bullet"/>
      <w:lvlText w:val="•"/>
      <w:lvlJc w:val="left"/>
      <w:pPr>
        <w:ind w:left="6987" w:hanging="396"/>
      </w:pPr>
      <w:rPr>
        <w:lang w:val="en-GB" w:eastAsia="en-GB" w:bidi="en-GB"/>
      </w:rPr>
    </w:lvl>
  </w:abstractNum>
  <w:abstractNum w:abstractNumId="6" w15:restartNumberingAfterBreak="0">
    <w:nsid w:val="6B2E1BCA"/>
    <w:multiLevelType w:val="hybridMultilevel"/>
    <w:tmpl w:val="D67AA5E6"/>
    <w:lvl w:ilvl="0" w:tplc="78CEEE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E349D0"/>
    <w:multiLevelType w:val="hybridMultilevel"/>
    <w:tmpl w:val="93B409BC"/>
    <w:lvl w:ilvl="0" w:tplc="FE2A45A2">
      <w:start w:val="2"/>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8" w15:restartNumberingAfterBreak="0">
    <w:nsid w:val="7BB63E8E"/>
    <w:multiLevelType w:val="hybridMultilevel"/>
    <w:tmpl w:val="569CF448"/>
    <w:lvl w:ilvl="0" w:tplc="252C69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lvlOverride w:ilvl="3">
      <w:startOverride w:val="1"/>
    </w:lvlOverride>
    <w:lvlOverride w:ilvl="4"/>
    <w:lvlOverride w:ilvl="5"/>
    <w:lvlOverride w:ilvl="6"/>
    <w:lvlOverride w:ilvl="7"/>
    <w:lvlOverride w:ilvl="8"/>
  </w:num>
  <w:num w:numId="3">
    <w:abstractNumId w:val="0"/>
    <w:lvlOverride w:ilvl="0">
      <w:startOverride w:val="35"/>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4">
    <w:abstractNumId w:val="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2D"/>
    <w:rsid w:val="00020F65"/>
    <w:rsid w:val="00086A35"/>
    <w:rsid w:val="00126113"/>
    <w:rsid w:val="00147A03"/>
    <w:rsid w:val="001C16D6"/>
    <w:rsid w:val="001E4ACF"/>
    <w:rsid w:val="00257915"/>
    <w:rsid w:val="0039540E"/>
    <w:rsid w:val="005947FB"/>
    <w:rsid w:val="005E2862"/>
    <w:rsid w:val="00623649"/>
    <w:rsid w:val="006B44D6"/>
    <w:rsid w:val="006F11B4"/>
    <w:rsid w:val="00767F95"/>
    <w:rsid w:val="008200EE"/>
    <w:rsid w:val="008803A6"/>
    <w:rsid w:val="0097607F"/>
    <w:rsid w:val="009D072D"/>
    <w:rsid w:val="00A4038A"/>
    <w:rsid w:val="00A76FBC"/>
    <w:rsid w:val="00AF7C3C"/>
    <w:rsid w:val="00B72166"/>
    <w:rsid w:val="00C2508A"/>
    <w:rsid w:val="00C312A4"/>
    <w:rsid w:val="00CC02BF"/>
    <w:rsid w:val="00DA09E6"/>
    <w:rsid w:val="00DB352C"/>
    <w:rsid w:val="00DB4CAF"/>
    <w:rsid w:val="00E41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FA99E-E4E6-48C7-89AA-36E8D245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D072D"/>
    <w:pPr>
      <w:widowControl w:val="0"/>
      <w:autoSpaceDE w:val="0"/>
      <w:autoSpaceDN w:val="0"/>
      <w:spacing w:after="0" w:line="240" w:lineRule="auto"/>
      <w:ind w:left="854"/>
    </w:pPr>
    <w:rPr>
      <w:rFonts w:ascii="Times New Roman" w:eastAsia="Times New Roman" w:hAnsi="Times New Roman"/>
      <w:sz w:val="24"/>
      <w:szCs w:val="24"/>
      <w:lang w:eastAsia="en-GB" w:bidi="en-GB"/>
    </w:rPr>
  </w:style>
  <w:style w:type="character" w:customStyle="1" w:styleId="BodyTextChar">
    <w:name w:val="Body Text Char"/>
    <w:link w:val="BodyText"/>
    <w:uiPriority w:val="1"/>
    <w:semiHidden/>
    <w:rsid w:val="009D072D"/>
    <w:rPr>
      <w:rFonts w:ascii="Times New Roman" w:eastAsia="Times New Roman" w:hAnsi="Times New Roman"/>
      <w:sz w:val="24"/>
      <w:szCs w:val="24"/>
      <w:lang w:bidi="en-GB"/>
    </w:rPr>
  </w:style>
  <w:style w:type="paragraph" w:styleId="ListParagraph">
    <w:name w:val="List Paragraph"/>
    <w:basedOn w:val="Normal"/>
    <w:uiPriority w:val="1"/>
    <w:qFormat/>
    <w:rsid w:val="009D072D"/>
    <w:pPr>
      <w:widowControl w:val="0"/>
      <w:autoSpaceDE w:val="0"/>
      <w:autoSpaceDN w:val="0"/>
      <w:spacing w:before="79" w:after="0" w:line="240" w:lineRule="auto"/>
      <w:ind w:left="854" w:hanging="397"/>
    </w:pPr>
    <w:rPr>
      <w:rFonts w:ascii="Times New Roman" w:eastAsia="Times New Roman" w:hAnsi="Times New Roman"/>
      <w:lang w:eastAsia="en-GB" w:bidi="en-GB"/>
    </w:rPr>
  </w:style>
  <w:style w:type="paragraph" w:customStyle="1" w:styleId="legp1paratext">
    <w:name w:val="legp1paratext"/>
    <w:basedOn w:val="Normal"/>
    <w:rsid w:val="009D07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gp2paratext">
    <w:name w:val="legp2paratext"/>
    <w:basedOn w:val="Normal"/>
    <w:rsid w:val="009D07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gclearfix">
    <w:name w:val="legclearfix"/>
    <w:basedOn w:val="Normal"/>
    <w:rsid w:val="009D07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grhs">
    <w:name w:val="legrhs"/>
    <w:basedOn w:val="Normal"/>
    <w:rsid w:val="009D07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egp1no">
    <w:name w:val="legp1no"/>
    <w:rsid w:val="009D072D"/>
  </w:style>
  <w:style w:type="character" w:customStyle="1" w:styleId="legds">
    <w:name w:val="legds"/>
    <w:rsid w:val="009D072D"/>
  </w:style>
  <w:style w:type="character" w:customStyle="1" w:styleId="legterm">
    <w:name w:val="legterm"/>
    <w:rsid w:val="009D072D"/>
  </w:style>
  <w:style w:type="character" w:styleId="Hyperlink">
    <w:name w:val="Hyperlink"/>
    <w:uiPriority w:val="99"/>
    <w:semiHidden/>
    <w:unhideWhenUsed/>
    <w:rsid w:val="009D072D"/>
    <w:rPr>
      <w:color w:val="0000FF"/>
      <w:u w:val="single"/>
    </w:rPr>
  </w:style>
  <w:style w:type="paragraph" w:styleId="Header">
    <w:name w:val="header"/>
    <w:basedOn w:val="Normal"/>
    <w:link w:val="HeaderChar"/>
    <w:uiPriority w:val="99"/>
    <w:unhideWhenUsed/>
    <w:rsid w:val="009D072D"/>
    <w:pPr>
      <w:tabs>
        <w:tab w:val="center" w:pos="4513"/>
        <w:tab w:val="right" w:pos="9026"/>
      </w:tabs>
    </w:pPr>
  </w:style>
  <w:style w:type="character" w:customStyle="1" w:styleId="HeaderChar">
    <w:name w:val="Header Char"/>
    <w:link w:val="Header"/>
    <w:uiPriority w:val="99"/>
    <w:rsid w:val="009D072D"/>
    <w:rPr>
      <w:sz w:val="22"/>
      <w:szCs w:val="22"/>
      <w:lang w:eastAsia="en-US"/>
    </w:rPr>
  </w:style>
  <w:style w:type="paragraph" w:styleId="Footer">
    <w:name w:val="footer"/>
    <w:basedOn w:val="Normal"/>
    <w:link w:val="FooterChar"/>
    <w:uiPriority w:val="99"/>
    <w:unhideWhenUsed/>
    <w:rsid w:val="009D072D"/>
    <w:pPr>
      <w:tabs>
        <w:tab w:val="center" w:pos="4513"/>
        <w:tab w:val="right" w:pos="9026"/>
      </w:tabs>
    </w:pPr>
  </w:style>
  <w:style w:type="character" w:customStyle="1" w:styleId="FooterChar">
    <w:name w:val="Footer Char"/>
    <w:link w:val="Footer"/>
    <w:uiPriority w:val="99"/>
    <w:rsid w:val="009D072D"/>
    <w:rPr>
      <w:sz w:val="22"/>
      <w:szCs w:val="22"/>
      <w:lang w:eastAsia="en-US"/>
    </w:rPr>
  </w:style>
  <w:style w:type="paragraph" w:styleId="BalloonText">
    <w:name w:val="Balloon Text"/>
    <w:basedOn w:val="Normal"/>
    <w:link w:val="BalloonTextChar"/>
    <w:uiPriority w:val="99"/>
    <w:semiHidden/>
    <w:unhideWhenUsed/>
    <w:rsid w:val="00A4038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4038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ilii.org/ew/cases/EWCA/Civ/2020/77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3839</Words>
  <Characters>19167</Characters>
  <Application>Microsoft Office Word</Application>
  <DocSecurity>0</DocSecurity>
  <Lines>509</Lines>
  <Paragraphs>121</Paragraphs>
  <ScaleCrop>false</ScaleCrop>
  <HeadingPairs>
    <vt:vector size="2" baseType="variant">
      <vt:variant>
        <vt:lpstr>Title</vt:lpstr>
      </vt:variant>
      <vt:variant>
        <vt:i4>1</vt:i4>
      </vt:variant>
    </vt:vector>
  </HeadingPairs>
  <TitlesOfParts>
    <vt:vector size="1" baseType="lpstr">
      <vt:lpstr>C3/21-22(UC)</vt:lpstr>
    </vt:vector>
  </TitlesOfParts>
  <Company/>
  <LinksUpToDate>false</LinksUpToDate>
  <CharactersWithSpaces>23077</CharactersWithSpaces>
  <SharedDoc>false</SharedDoc>
  <HLinks>
    <vt:vector size="6" baseType="variant">
      <vt:variant>
        <vt:i4>6815776</vt:i4>
      </vt:variant>
      <vt:variant>
        <vt:i4>0</vt:i4>
      </vt:variant>
      <vt:variant>
        <vt:i4>0</vt:i4>
      </vt:variant>
      <vt:variant>
        <vt:i4>5</vt:i4>
      </vt:variant>
      <vt:variant>
        <vt:lpwstr>https://www.bailii.org/ew/cases/EWCA/Civ/2020/778.html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C3/21-22(UC)</dc:title>
  <dc:subject/>
  <dc:creator/>
  <cp:keywords/>
  <dc:description/>
  <cp:lastModifiedBy>Bowman, Marie</cp:lastModifiedBy>
  <cp:revision>3</cp:revision>
  <cp:lastPrinted>2021-12-14T13:02:00Z</cp:lastPrinted>
  <dcterms:created xsi:type="dcterms:W3CDTF">2021-12-16T11:44:00Z</dcterms:created>
  <dcterms:modified xsi:type="dcterms:W3CDTF">2021-12-16T11:44:00Z</dcterms:modified>
</cp:coreProperties>
</file>