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7DCA4" w14:textId="670D54B5" w:rsidR="00313561" w:rsidRPr="0057173C" w:rsidRDefault="00B719E8" w:rsidP="0057173C">
      <w:pPr>
        <w:jc w:val="right"/>
        <w:rPr>
          <w:rFonts w:ascii="Arial" w:hAnsi="Arial" w:cs="Arial"/>
        </w:rPr>
      </w:pPr>
      <w:proofErr w:type="spellStart"/>
      <w:r w:rsidRPr="0057173C">
        <w:rPr>
          <w:rFonts w:ascii="Arial" w:hAnsi="Arial" w:cs="Arial"/>
        </w:rPr>
        <w:t>JMcA</w:t>
      </w:r>
      <w:proofErr w:type="spellEnd"/>
      <w:r w:rsidR="00313561" w:rsidRPr="0057173C">
        <w:rPr>
          <w:rFonts w:ascii="Arial" w:hAnsi="Arial" w:cs="Arial"/>
        </w:rPr>
        <w:t>-v-Department for Communities (P</w:t>
      </w:r>
      <w:r w:rsidRPr="0057173C">
        <w:rPr>
          <w:rFonts w:ascii="Arial" w:hAnsi="Arial" w:cs="Arial"/>
        </w:rPr>
        <w:t>C</w:t>
      </w:r>
      <w:r w:rsidR="00313561" w:rsidRPr="0057173C">
        <w:rPr>
          <w:rFonts w:ascii="Arial" w:hAnsi="Arial" w:cs="Arial"/>
        </w:rPr>
        <w:t>) [202</w:t>
      </w:r>
      <w:r w:rsidR="00F50427" w:rsidRPr="0057173C">
        <w:rPr>
          <w:rFonts w:ascii="Arial" w:hAnsi="Arial" w:cs="Arial"/>
        </w:rPr>
        <w:t>5</w:t>
      </w:r>
      <w:r w:rsidR="00313561" w:rsidRPr="0057173C">
        <w:rPr>
          <w:rFonts w:ascii="Arial" w:hAnsi="Arial" w:cs="Arial"/>
        </w:rPr>
        <w:t xml:space="preserve">] </w:t>
      </w:r>
      <w:proofErr w:type="spellStart"/>
      <w:r w:rsidR="00313561" w:rsidRPr="0057173C">
        <w:rPr>
          <w:rFonts w:ascii="Arial" w:hAnsi="Arial" w:cs="Arial"/>
        </w:rPr>
        <w:t>NICom</w:t>
      </w:r>
      <w:proofErr w:type="spellEnd"/>
      <w:r w:rsidR="00313561" w:rsidRPr="0057173C">
        <w:rPr>
          <w:rFonts w:ascii="Arial" w:hAnsi="Arial" w:cs="Arial"/>
        </w:rPr>
        <w:t xml:space="preserve"> </w:t>
      </w:r>
      <w:r w:rsidR="00C67FD8" w:rsidRPr="0057173C">
        <w:rPr>
          <w:rFonts w:ascii="Arial" w:hAnsi="Arial" w:cs="Arial"/>
        </w:rPr>
        <w:t>26</w:t>
      </w:r>
    </w:p>
    <w:p w14:paraId="49A86FE5" w14:textId="77777777" w:rsidR="00C748CE" w:rsidRPr="0057173C" w:rsidRDefault="00C748CE" w:rsidP="0057173C">
      <w:pPr>
        <w:tabs>
          <w:tab w:val="right" w:pos="8931"/>
        </w:tabs>
        <w:jc w:val="right"/>
        <w:rPr>
          <w:rFonts w:ascii="Arial" w:hAnsi="Arial" w:cs="Arial"/>
        </w:rPr>
      </w:pPr>
    </w:p>
    <w:p w14:paraId="5DD988D2" w14:textId="4690FC61" w:rsidR="00313561" w:rsidRPr="0057173C" w:rsidRDefault="00313561" w:rsidP="0057173C">
      <w:pPr>
        <w:jc w:val="right"/>
        <w:rPr>
          <w:rFonts w:ascii="Arial" w:hAnsi="Arial" w:cs="Arial"/>
        </w:rPr>
      </w:pPr>
      <w:r w:rsidRPr="0057173C">
        <w:rPr>
          <w:rFonts w:ascii="Arial" w:hAnsi="Arial" w:cs="Arial"/>
        </w:rPr>
        <w:t>Decision No:</w:t>
      </w:r>
      <w:r w:rsidR="0057173C">
        <w:rPr>
          <w:rFonts w:ascii="Arial" w:hAnsi="Arial" w:cs="Arial"/>
        </w:rPr>
        <w:t xml:space="preserve"> </w:t>
      </w:r>
      <w:r w:rsidRPr="0057173C">
        <w:rPr>
          <w:rFonts w:ascii="Arial" w:hAnsi="Arial" w:cs="Arial"/>
        </w:rPr>
        <w:t xml:space="preserve"> C</w:t>
      </w:r>
      <w:r w:rsidR="00C67FD8" w:rsidRPr="0057173C">
        <w:rPr>
          <w:rFonts w:ascii="Arial" w:hAnsi="Arial" w:cs="Arial"/>
        </w:rPr>
        <w:t>1/24-</w:t>
      </w:r>
      <w:r w:rsidRPr="0057173C">
        <w:rPr>
          <w:rFonts w:ascii="Arial" w:hAnsi="Arial" w:cs="Arial"/>
        </w:rPr>
        <w:t>25(P</w:t>
      </w:r>
      <w:r w:rsidR="00B719E8" w:rsidRPr="0057173C">
        <w:rPr>
          <w:rFonts w:ascii="Arial" w:hAnsi="Arial" w:cs="Arial"/>
        </w:rPr>
        <w:t>C</w:t>
      </w:r>
      <w:r w:rsidRPr="0057173C">
        <w:rPr>
          <w:rFonts w:ascii="Arial" w:hAnsi="Arial" w:cs="Arial"/>
        </w:rPr>
        <w:t>)</w:t>
      </w:r>
    </w:p>
    <w:p w14:paraId="517F8ED4" w14:textId="77777777" w:rsidR="00313561" w:rsidRDefault="00313561" w:rsidP="0057173C">
      <w:pPr>
        <w:rPr>
          <w:rFonts w:ascii="Arial" w:hAnsi="Arial" w:cs="Arial"/>
        </w:rPr>
      </w:pPr>
    </w:p>
    <w:p w14:paraId="7A1549C1" w14:textId="77777777" w:rsidR="0057173C" w:rsidRDefault="0057173C" w:rsidP="0057173C">
      <w:pPr>
        <w:rPr>
          <w:rFonts w:ascii="Arial" w:hAnsi="Arial" w:cs="Arial"/>
        </w:rPr>
      </w:pPr>
    </w:p>
    <w:p w14:paraId="39F16DDE" w14:textId="77777777" w:rsidR="0057173C" w:rsidRDefault="0057173C" w:rsidP="0057173C">
      <w:pPr>
        <w:rPr>
          <w:rFonts w:ascii="Arial" w:hAnsi="Arial" w:cs="Arial"/>
        </w:rPr>
      </w:pPr>
    </w:p>
    <w:p w14:paraId="610037BB" w14:textId="77777777" w:rsidR="0057173C" w:rsidRPr="0057173C" w:rsidRDefault="0057173C" w:rsidP="0057173C">
      <w:pPr>
        <w:rPr>
          <w:rFonts w:ascii="Arial" w:hAnsi="Arial" w:cs="Arial"/>
        </w:rPr>
      </w:pPr>
    </w:p>
    <w:p w14:paraId="25973D7A" w14:textId="77777777" w:rsidR="00313561" w:rsidRPr="0057173C" w:rsidRDefault="00313561" w:rsidP="0057173C">
      <w:pPr>
        <w:suppressAutoHyphens/>
        <w:jc w:val="center"/>
        <w:rPr>
          <w:rFonts w:ascii="Arial" w:hAnsi="Arial" w:cs="Arial"/>
          <w:b/>
          <w:bCs/>
          <w:spacing w:val="-3"/>
        </w:rPr>
      </w:pPr>
      <w:r w:rsidRPr="0057173C">
        <w:rPr>
          <w:rFonts w:ascii="Arial" w:hAnsi="Arial" w:cs="Arial"/>
          <w:b/>
          <w:bCs/>
          <w:spacing w:val="-3"/>
        </w:rPr>
        <w:t>SOCIAL SECURITY ADMINISTRATION (NORTHERN IRELAND) ACT 1992</w:t>
      </w:r>
    </w:p>
    <w:p w14:paraId="361E25FF" w14:textId="77777777" w:rsidR="00313561" w:rsidRPr="0057173C" w:rsidRDefault="00313561" w:rsidP="0057173C">
      <w:pPr>
        <w:suppressAutoHyphens/>
        <w:jc w:val="center"/>
        <w:rPr>
          <w:rFonts w:ascii="Arial" w:hAnsi="Arial" w:cs="Arial"/>
          <w:b/>
          <w:bCs/>
          <w:spacing w:val="-3"/>
        </w:rPr>
      </w:pPr>
    </w:p>
    <w:p w14:paraId="3DA475B6" w14:textId="77777777" w:rsidR="00313561" w:rsidRPr="0057173C" w:rsidRDefault="00313561" w:rsidP="0057173C">
      <w:pPr>
        <w:suppressAutoHyphens/>
        <w:jc w:val="center"/>
        <w:rPr>
          <w:rFonts w:ascii="Arial" w:hAnsi="Arial" w:cs="Arial"/>
          <w:b/>
          <w:bCs/>
          <w:spacing w:val="-3"/>
        </w:rPr>
      </w:pPr>
      <w:r w:rsidRPr="0057173C">
        <w:rPr>
          <w:rFonts w:ascii="Arial" w:hAnsi="Arial" w:cs="Arial"/>
          <w:b/>
          <w:bCs/>
          <w:spacing w:val="-3"/>
        </w:rPr>
        <w:t>SOCIAL SECURITY (NORTHERN IRELAND) ORDER 1998</w:t>
      </w:r>
    </w:p>
    <w:p w14:paraId="6944AB4B" w14:textId="77777777" w:rsidR="00313561" w:rsidRPr="0057173C" w:rsidRDefault="00313561" w:rsidP="0057173C">
      <w:pPr>
        <w:suppressAutoHyphens/>
        <w:jc w:val="center"/>
        <w:rPr>
          <w:rFonts w:ascii="Arial" w:hAnsi="Arial" w:cs="Arial"/>
          <w:b/>
          <w:bCs/>
          <w:spacing w:val="-3"/>
        </w:rPr>
      </w:pPr>
    </w:p>
    <w:p w14:paraId="0A6C56D5" w14:textId="77777777" w:rsidR="00313561" w:rsidRPr="0057173C" w:rsidRDefault="00313561" w:rsidP="0057173C">
      <w:pPr>
        <w:suppressAutoHyphens/>
        <w:jc w:val="center"/>
        <w:rPr>
          <w:rFonts w:ascii="Arial" w:hAnsi="Arial" w:cs="Arial"/>
          <w:b/>
          <w:bCs/>
          <w:spacing w:val="-3"/>
        </w:rPr>
      </w:pPr>
    </w:p>
    <w:p w14:paraId="794BE325" w14:textId="77777777" w:rsidR="00313561" w:rsidRPr="0057173C" w:rsidRDefault="00BD4847" w:rsidP="0057173C">
      <w:pPr>
        <w:tabs>
          <w:tab w:val="center" w:pos="4513"/>
        </w:tabs>
        <w:suppressAutoHyphens/>
        <w:jc w:val="center"/>
        <w:rPr>
          <w:rFonts w:ascii="Arial" w:hAnsi="Arial" w:cs="Arial"/>
          <w:spacing w:val="-3"/>
          <w:u w:val="single"/>
        </w:rPr>
      </w:pPr>
      <w:r w:rsidRPr="0057173C">
        <w:rPr>
          <w:rFonts w:ascii="Arial" w:hAnsi="Arial" w:cs="Arial"/>
          <w:b/>
          <w:bCs/>
          <w:spacing w:val="-3"/>
          <w:u w:val="single"/>
        </w:rPr>
        <w:t xml:space="preserve">STATE </w:t>
      </w:r>
      <w:r w:rsidR="00313561" w:rsidRPr="0057173C">
        <w:rPr>
          <w:rFonts w:ascii="Arial" w:hAnsi="Arial" w:cs="Arial"/>
          <w:b/>
          <w:bCs/>
          <w:spacing w:val="-3"/>
          <w:u w:val="single"/>
        </w:rPr>
        <w:t>P</w:t>
      </w:r>
      <w:r w:rsidR="00B719E8" w:rsidRPr="0057173C">
        <w:rPr>
          <w:rFonts w:ascii="Arial" w:hAnsi="Arial" w:cs="Arial"/>
          <w:b/>
          <w:bCs/>
          <w:spacing w:val="-3"/>
          <w:u w:val="single"/>
        </w:rPr>
        <w:t>ENSION CREDIT</w:t>
      </w:r>
    </w:p>
    <w:p w14:paraId="6F56045D" w14:textId="77777777" w:rsidR="00313561" w:rsidRPr="0057173C" w:rsidRDefault="00313561" w:rsidP="0057173C">
      <w:pPr>
        <w:tabs>
          <w:tab w:val="left" w:pos="-720"/>
        </w:tabs>
        <w:suppressAutoHyphens/>
        <w:jc w:val="center"/>
        <w:rPr>
          <w:rFonts w:ascii="Arial" w:hAnsi="Arial" w:cs="Arial"/>
          <w:spacing w:val="-3"/>
        </w:rPr>
      </w:pPr>
    </w:p>
    <w:p w14:paraId="51F262CA" w14:textId="77777777" w:rsidR="00313561" w:rsidRPr="0057173C" w:rsidRDefault="00313561" w:rsidP="0057173C">
      <w:pPr>
        <w:tabs>
          <w:tab w:val="left" w:pos="-720"/>
        </w:tabs>
        <w:suppressAutoHyphens/>
        <w:jc w:val="center"/>
        <w:rPr>
          <w:rFonts w:ascii="Arial" w:hAnsi="Arial" w:cs="Arial"/>
          <w:spacing w:val="-3"/>
        </w:rPr>
      </w:pPr>
    </w:p>
    <w:p w14:paraId="5AC4B4BA" w14:textId="77777777" w:rsidR="00313561" w:rsidRPr="0057173C" w:rsidRDefault="00313561" w:rsidP="0057173C">
      <w:pPr>
        <w:tabs>
          <w:tab w:val="center" w:pos="4513"/>
        </w:tabs>
        <w:suppressAutoHyphens/>
        <w:jc w:val="center"/>
        <w:rPr>
          <w:rFonts w:ascii="Arial" w:hAnsi="Arial" w:cs="Arial"/>
          <w:spacing w:val="-3"/>
        </w:rPr>
      </w:pPr>
      <w:r w:rsidRPr="0057173C">
        <w:rPr>
          <w:rFonts w:ascii="Arial" w:hAnsi="Arial" w:cs="Arial"/>
          <w:spacing w:val="-3"/>
        </w:rPr>
        <w:t xml:space="preserve">Application by the </w:t>
      </w:r>
      <w:r w:rsidR="00B719E8" w:rsidRPr="0057173C">
        <w:rPr>
          <w:rFonts w:ascii="Arial" w:hAnsi="Arial" w:cs="Arial"/>
          <w:spacing w:val="-3"/>
        </w:rPr>
        <w:t>Department for Communities</w:t>
      </w:r>
      <w:r w:rsidRPr="0057173C">
        <w:rPr>
          <w:rFonts w:ascii="Arial" w:hAnsi="Arial" w:cs="Arial"/>
          <w:spacing w:val="-3"/>
        </w:rPr>
        <w:t xml:space="preserve"> for leave to </w:t>
      </w:r>
      <w:r w:rsidR="00B719E8" w:rsidRPr="0057173C">
        <w:rPr>
          <w:rFonts w:ascii="Arial" w:hAnsi="Arial" w:cs="Arial"/>
          <w:spacing w:val="-3"/>
        </w:rPr>
        <w:t>withdraw</w:t>
      </w:r>
    </w:p>
    <w:p w14:paraId="47561923" w14:textId="77777777" w:rsidR="00313561" w:rsidRPr="0057173C" w:rsidRDefault="00B719E8" w:rsidP="0057173C">
      <w:pPr>
        <w:tabs>
          <w:tab w:val="center" w:pos="4513"/>
        </w:tabs>
        <w:suppressAutoHyphens/>
        <w:jc w:val="center"/>
        <w:rPr>
          <w:rFonts w:ascii="Arial" w:hAnsi="Arial" w:cs="Arial"/>
          <w:spacing w:val="-3"/>
        </w:rPr>
      </w:pPr>
      <w:proofErr w:type="gramStart"/>
      <w:r w:rsidRPr="0057173C">
        <w:rPr>
          <w:rFonts w:ascii="Arial" w:hAnsi="Arial" w:cs="Arial"/>
          <w:spacing w:val="-3"/>
        </w:rPr>
        <w:t>a</w:t>
      </w:r>
      <w:r w:rsidR="00313561" w:rsidRPr="0057173C">
        <w:rPr>
          <w:rFonts w:ascii="Arial" w:hAnsi="Arial" w:cs="Arial"/>
          <w:spacing w:val="-3"/>
        </w:rPr>
        <w:t>n</w:t>
      </w:r>
      <w:proofErr w:type="gramEnd"/>
      <w:r w:rsidRPr="0057173C">
        <w:rPr>
          <w:rFonts w:ascii="Arial" w:hAnsi="Arial" w:cs="Arial"/>
          <w:spacing w:val="-3"/>
        </w:rPr>
        <w:t xml:space="preserve"> </w:t>
      </w:r>
      <w:r w:rsidR="00313561" w:rsidRPr="0057173C">
        <w:rPr>
          <w:rFonts w:ascii="Arial" w:hAnsi="Arial" w:cs="Arial"/>
          <w:spacing w:val="-3"/>
        </w:rPr>
        <w:t>appeal to a Social Security Commissioner</w:t>
      </w:r>
    </w:p>
    <w:p w14:paraId="4D0F3E30" w14:textId="77777777" w:rsidR="00313561" w:rsidRPr="0057173C" w:rsidRDefault="00313561" w:rsidP="0057173C">
      <w:pPr>
        <w:tabs>
          <w:tab w:val="center" w:pos="4513"/>
        </w:tabs>
        <w:suppressAutoHyphens/>
        <w:jc w:val="center"/>
        <w:rPr>
          <w:rFonts w:ascii="Arial" w:hAnsi="Arial" w:cs="Arial"/>
          <w:spacing w:val="-3"/>
        </w:rPr>
      </w:pPr>
      <w:r w:rsidRPr="0057173C">
        <w:rPr>
          <w:rFonts w:ascii="Arial" w:hAnsi="Arial" w:cs="Arial"/>
          <w:spacing w:val="-3"/>
        </w:rPr>
        <w:t>on a question of law from a Tribunal’s decision</w:t>
      </w:r>
    </w:p>
    <w:p w14:paraId="5CD1958C" w14:textId="77777777" w:rsidR="00313561" w:rsidRPr="0057173C" w:rsidRDefault="00313561" w:rsidP="0057173C">
      <w:pPr>
        <w:tabs>
          <w:tab w:val="center" w:pos="4513"/>
        </w:tabs>
        <w:suppressAutoHyphens/>
        <w:jc w:val="center"/>
        <w:rPr>
          <w:rFonts w:ascii="Arial" w:hAnsi="Arial" w:cs="Arial"/>
          <w:spacing w:val="-3"/>
        </w:rPr>
      </w:pPr>
      <w:r w:rsidRPr="0057173C">
        <w:rPr>
          <w:rFonts w:ascii="Arial" w:hAnsi="Arial" w:cs="Arial"/>
          <w:spacing w:val="-3"/>
        </w:rPr>
        <w:t xml:space="preserve">dated </w:t>
      </w:r>
      <w:r w:rsidR="00B719E8" w:rsidRPr="0057173C">
        <w:rPr>
          <w:rFonts w:ascii="Arial" w:hAnsi="Arial" w:cs="Arial"/>
          <w:spacing w:val="-3"/>
        </w:rPr>
        <w:t>10</w:t>
      </w:r>
      <w:r w:rsidR="00C67FD8" w:rsidRPr="0057173C">
        <w:rPr>
          <w:rFonts w:ascii="Arial" w:hAnsi="Arial" w:cs="Arial"/>
          <w:spacing w:val="-3"/>
        </w:rPr>
        <w:t xml:space="preserve"> </w:t>
      </w:r>
      <w:r w:rsidR="00B719E8" w:rsidRPr="0057173C">
        <w:rPr>
          <w:rFonts w:ascii="Arial" w:hAnsi="Arial" w:cs="Arial"/>
          <w:spacing w:val="-3"/>
        </w:rPr>
        <w:t>April</w:t>
      </w:r>
      <w:r w:rsidRPr="0057173C">
        <w:rPr>
          <w:rFonts w:ascii="Arial" w:hAnsi="Arial" w:cs="Arial"/>
          <w:spacing w:val="-3"/>
        </w:rPr>
        <w:t xml:space="preserve"> 202</w:t>
      </w:r>
      <w:r w:rsidR="00F50427" w:rsidRPr="0057173C">
        <w:rPr>
          <w:rFonts w:ascii="Arial" w:hAnsi="Arial" w:cs="Arial"/>
          <w:spacing w:val="-3"/>
        </w:rPr>
        <w:t>4</w:t>
      </w:r>
    </w:p>
    <w:p w14:paraId="6F62FB17" w14:textId="77777777" w:rsidR="00313561" w:rsidRPr="0057173C" w:rsidRDefault="00313561" w:rsidP="0057173C">
      <w:pPr>
        <w:tabs>
          <w:tab w:val="left" w:pos="-720"/>
        </w:tabs>
        <w:suppressAutoHyphens/>
        <w:jc w:val="center"/>
        <w:rPr>
          <w:rFonts w:ascii="Arial" w:hAnsi="Arial" w:cs="Arial"/>
          <w:spacing w:val="-3"/>
        </w:rPr>
      </w:pPr>
    </w:p>
    <w:p w14:paraId="43479C63" w14:textId="77777777" w:rsidR="00313561" w:rsidRPr="0057173C" w:rsidRDefault="00313561" w:rsidP="0057173C">
      <w:pPr>
        <w:tabs>
          <w:tab w:val="left" w:pos="-720"/>
        </w:tabs>
        <w:suppressAutoHyphens/>
        <w:jc w:val="center"/>
        <w:rPr>
          <w:rFonts w:ascii="Arial" w:hAnsi="Arial" w:cs="Arial"/>
          <w:spacing w:val="-3"/>
        </w:rPr>
      </w:pPr>
    </w:p>
    <w:p w14:paraId="2D4765B2" w14:textId="77777777" w:rsidR="00313561" w:rsidRPr="0057173C" w:rsidRDefault="00313561" w:rsidP="0057173C">
      <w:pPr>
        <w:tabs>
          <w:tab w:val="center" w:pos="4513"/>
        </w:tabs>
        <w:suppressAutoHyphens/>
        <w:jc w:val="center"/>
        <w:rPr>
          <w:rFonts w:ascii="Arial" w:hAnsi="Arial" w:cs="Arial"/>
          <w:spacing w:val="-3"/>
          <w:lang w:val="en-GB"/>
        </w:rPr>
      </w:pPr>
      <w:r w:rsidRPr="0057173C">
        <w:rPr>
          <w:rFonts w:ascii="Arial" w:hAnsi="Arial" w:cs="Arial"/>
          <w:spacing w:val="-3"/>
          <w:u w:val="single"/>
        </w:rPr>
        <w:t xml:space="preserve">DECISION OF THE </w:t>
      </w:r>
      <w:r w:rsidR="00B719E8" w:rsidRPr="0057173C">
        <w:rPr>
          <w:rFonts w:ascii="Arial" w:hAnsi="Arial" w:cs="Arial"/>
          <w:spacing w:val="-3"/>
          <w:u w:val="single"/>
        </w:rPr>
        <w:t>TRIBUNAL OF</w:t>
      </w:r>
      <w:r w:rsidRPr="0057173C">
        <w:rPr>
          <w:rFonts w:ascii="Arial" w:hAnsi="Arial" w:cs="Arial"/>
          <w:spacing w:val="-3"/>
          <w:u w:val="single"/>
        </w:rPr>
        <w:t xml:space="preserve"> COMMISSIONER</w:t>
      </w:r>
      <w:r w:rsidR="00B719E8" w:rsidRPr="0057173C">
        <w:rPr>
          <w:rFonts w:ascii="Arial" w:hAnsi="Arial" w:cs="Arial"/>
          <w:spacing w:val="-3"/>
          <w:u w:val="single"/>
        </w:rPr>
        <w:t>S</w:t>
      </w:r>
    </w:p>
    <w:p w14:paraId="27152E70" w14:textId="77777777" w:rsidR="00B719E8" w:rsidRPr="0057173C" w:rsidRDefault="00B719E8" w:rsidP="00332547">
      <w:pPr>
        <w:jc w:val="center"/>
        <w:rPr>
          <w:rFonts w:ascii="Arial" w:hAnsi="Arial" w:cs="Arial"/>
        </w:rPr>
      </w:pPr>
    </w:p>
    <w:p w14:paraId="72A3512E" w14:textId="77777777" w:rsidR="00BD46D0" w:rsidRPr="0057173C" w:rsidRDefault="00BD46D0" w:rsidP="00332547">
      <w:pPr>
        <w:jc w:val="center"/>
        <w:rPr>
          <w:rFonts w:ascii="Arial" w:hAnsi="Arial" w:cs="Arial"/>
        </w:rPr>
      </w:pPr>
    </w:p>
    <w:p w14:paraId="69353095" w14:textId="35CAD0B8" w:rsidR="00B719E8" w:rsidRPr="0057173C" w:rsidRDefault="00BD46D0" w:rsidP="0057173C">
      <w:pPr>
        <w:jc w:val="center"/>
        <w:rPr>
          <w:rFonts w:ascii="Arial" w:hAnsi="Arial" w:cs="Arial"/>
          <w:b/>
          <w:bCs/>
        </w:rPr>
      </w:pPr>
      <w:r w:rsidRPr="0057173C">
        <w:rPr>
          <w:rFonts w:ascii="Arial" w:hAnsi="Arial" w:cs="Arial"/>
          <w:b/>
          <w:bCs/>
        </w:rPr>
        <w:t xml:space="preserve">The decision of the Tribunal of Commissioners is </w:t>
      </w:r>
      <w:r w:rsidR="00392875" w:rsidRPr="0057173C">
        <w:rPr>
          <w:rFonts w:ascii="Arial" w:hAnsi="Arial" w:cs="Arial"/>
          <w:b/>
          <w:bCs/>
        </w:rPr>
        <w:t xml:space="preserve">that the Department be given </w:t>
      </w:r>
      <w:r w:rsidR="004555AB" w:rsidRPr="0057173C">
        <w:rPr>
          <w:rFonts w:ascii="Arial" w:hAnsi="Arial" w:cs="Arial"/>
          <w:b/>
          <w:bCs/>
        </w:rPr>
        <w:t xml:space="preserve">leave </w:t>
      </w:r>
      <w:r w:rsidRPr="0057173C">
        <w:rPr>
          <w:rFonts w:ascii="Arial" w:hAnsi="Arial" w:cs="Arial"/>
          <w:b/>
          <w:bCs/>
        </w:rPr>
        <w:t xml:space="preserve">to </w:t>
      </w:r>
      <w:r w:rsidR="004555AB" w:rsidRPr="0057173C">
        <w:rPr>
          <w:rFonts w:ascii="Arial" w:hAnsi="Arial" w:cs="Arial"/>
          <w:b/>
          <w:bCs/>
        </w:rPr>
        <w:t xml:space="preserve">withdraw </w:t>
      </w:r>
      <w:r w:rsidRPr="0057173C">
        <w:rPr>
          <w:rFonts w:ascii="Arial" w:hAnsi="Arial" w:cs="Arial"/>
          <w:b/>
          <w:bCs/>
        </w:rPr>
        <w:t>the appeal</w:t>
      </w:r>
      <w:r w:rsidR="004555AB" w:rsidRPr="0057173C">
        <w:rPr>
          <w:rFonts w:ascii="Arial" w:hAnsi="Arial" w:cs="Arial"/>
          <w:b/>
          <w:bCs/>
        </w:rPr>
        <w:t xml:space="preserve"> which is now WITHDRAW</w:t>
      </w:r>
      <w:r w:rsidR="00911041" w:rsidRPr="0057173C">
        <w:rPr>
          <w:rFonts w:ascii="Arial" w:hAnsi="Arial" w:cs="Arial"/>
          <w:b/>
          <w:bCs/>
        </w:rPr>
        <w:t>N</w:t>
      </w:r>
    </w:p>
    <w:p w14:paraId="3895BA71" w14:textId="77777777" w:rsidR="00BD46D0" w:rsidRPr="00332547" w:rsidRDefault="00BD46D0" w:rsidP="0057173C">
      <w:pPr>
        <w:jc w:val="center"/>
        <w:rPr>
          <w:rFonts w:ascii="Arial" w:hAnsi="Arial" w:cs="Arial"/>
        </w:rPr>
      </w:pPr>
    </w:p>
    <w:p w14:paraId="631E539F" w14:textId="77777777" w:rsidR="00BD46D0" w:rsidRPr="00332547" w:rsidRDefault="00BD46D0" w:rsidP="0057173C">
      <w:pPr>
        <w:jc w:val="center"/>
        <w:rPr>
          <w:rFonts w:ascii="Arial" w:hAnsi="Arial" w:cs="Arial"/>
        </w:rPr>
      </w:pPr>
    </w:p>
    <w:p w14:paraId="1D7ADB0C" w14:textId="77777777" w:rsidR="00BD46D0" w:rsidRPr="0057173C" w:rsidRDefault="00BD46D0" w:rsidP="0057173C">
      <w:pPr>
        <w:jc w:val="center"/>
        <w:rPr>
          <w:rFonts w:ascii="Arial" w:hAnsi="Arial" w:cs="Arial"/>
          <w:b/>
          <w:bCs/>
          <w:u w:val="single"/>
        </w:rPr>
      </w:pPr>
      <w:r w:rsidRPr="0057173C">
        <w:rPr>
          <w:rFonts w:ascii="Arial" w:hAnsi="Arial" w:cs="Arial"/>
          <w:b/>
          <w:bCs/>
          <w:u w:val="single"/>
        </w:rPr>
        <w:t>REASONS</w:t>
      </w:r>
    </w:p>
    <w:p w14:paraId="0D321E80" w14:textId="77777777" w:rsidR="00BD46D0" w:rsidRPr="00332547" w:rsidRDefault="00BD46D0" w:rsidP="007D4AFE">
      <w:pPr>
        <w:rPr>
          <w:rFonts w:ascii="Arial" w:hAnsi="Arial" w:cs="Arial"/>
        </w:rPr>
      </w:pPr>
    </w:p>
    <w:p w14:paraId="56C8BE62" w14:textId="59B8E072" w:rsidR="00B719E8" w:rsidRPr="0057173C" w:rsidRDefault="007D4AFE" w:rsidP="00581A65">
      <w:pPr>
        <w:tabs>
          <w:tab w:val="left" w:pos="510"/>
          <w:tab w:val="left" w:pos="1077"/>
          <w:tab w:val="left" w:pos="1797"/>
        </w:tabs>
        <w:jc w:val="both"/>
        <w:rPr>
          <w:rFonts w:ascii="Arial" w:hAnsi="Arial" w:cs="Arial"/>
          <w:b/>
          <w:bCs/>
        </w:rPr>
      </w:pPr>
      <w:r>
        <w:rPr>
          <w:rFonts w:ascii="Arial" w:hAnsi="Arial" w:cs="Arial"/>
          <w:b/>
          <w:bCs/>
        </w:rPr>
        <w:tab/>
      </w:r>
      <w:r w:rsidR="00B719E8" w:rsidRPr="0057173C">
        <w:rPr>
          <w:rFonts w:ascii="Arial" w:hAnsi="Arial" w:cs="Arial"/>
          <w:b/>
          <w:bCs/>
        </w:rPr>
        <w:t>Background</w:t>
      </w:r>
    </w:p>
    <w:p w14:paraId="6E3CA40B" w14:textId="77777777" w:rsidR="00B719E8" w:rsidRPr="007D4AFE" w:rsidRDefault="00B719E8" w:rsidP="00581A65">
      <w:pPr>
        <w:tabs>
          <w:tab w:val="left" w:pos="510"/>
          <w:tab w:val="left" w:pos="1077"/>
          <w:tab w:val="left" w:pos="1797"/>
        </w:tabs>
        <w:jc w:val="both"/>
        <w:rPr>
          <w:rFonts w:ascii="Arial" w:hAnsi="Arial" w:cs="Arial"/>
        </w:rPr>
      </w:pPr>
    </w:p>
    <w:p w14:paraId="276E3029" w14:textId="705AB37E" w:rsidR="00C67FD8" w:rsidRPr="0057173C" w:rsidRDefault="00B719E8" w:rsidP="007D4AFE">
      <w:pPr>
        <w:pStyle w:val="ListParagraph"/>
        <w:numPr>
          <w:ilvl w:val="0"/>
          <w:numId w:val="5"/>
        </w:numPr>
        <w:tabs>
          <w:tab w:val="left" w:pos="510"/>
          <w:tab w:val="left" w:pos="567"/>
          <w:tab w:val="left" w:pos="1077"/>
          <w:tab w:val="left" w:pos="1797"/>
        </w:tabs>
        <w:ind w:left="510" w:hanging="510"/>
        <w:jc w:val="both"/>
        <w:rPr>
          <w:rFonts w:ascii="Arial" w:hAnsi="Arial" w:cs="Arial"/>
        </w:rPr>
      </w:pPr>
      <w:r w:rsidRPr="0057173C">
        <w:rPr>
          <w:rFonts w:ascii="Arial" w:hAnsi="Arial" w:cs="Arial"/>
        </w:rPr>
        <w:t xml:space="preserve">The Respondent claimed State Pension Credit (SPC) from 1 October 2008 at a time when he rented his Northern Ireland Housing Executive (NIHE) home in Belfast.  In December 2021, the Respondent received a personal injury compensation payment </w:t>
      </w:r>
      <w:proofErr w:type="gramStart"/>
      <w:r w:rsidRPr="0057173C">
        <w:rPr>
          <w:rFonts w:ascii="Arial" w:hAnsi="Arial" w:cs="Arial"/>
        </w:rPr>
        <w:t>in</w:t>
      </w:r>
      <w:proofErr w:type="gramEnd"/>
      <w:r w:rsidRPr="0057173C">
        <w:rPr>
          <w:rFonts w:ascii="Arial" w:hAnsi="Arial" w:cs="Arial"/>
        </w:rPr>
        <w:t xml:space="preserve"> the sum of £325,000.  From this money, he purchased a new residential property </w:t>
      </w:r>
      <w:r w:rsidR="009B49F5" w:rsidRPr="0057173C">
        <w:rPr>
          <w:rFonts w:ascii="Arial" w:hAnsi="Arial" w:cs="Arial"/>
        </w:rPr>
        <w:t>and</w:t>
      </w:r>
      <w:r w:rsidRPr="0057173C">
        <w:rPr>
          <w:rFonts w:ascii="Arial" w:hAnsi="Arial" w:cs="Arial"/>
        </w:rPr>
        <w:t xml:space="preserve"> purchased his former NIHE home by way of pension investment, the latter having been offered to him at a reduced rate due to his previous tenancy there.  The value of the NIHE property was £80,000.  The Respondent purchased it for £48,500 after receiving a tenant’s discount of £31,500.  The purchase </w:t>
      </w:r>
      <w:r w:rsidR="009B49F5" w:rsidRPr="0057173C">
        <w:rPr>
          <w:rFonts w:ascii="Arial" w:hAnsi="Arial" w:cs="Arial"/>
        </w:rPr>
        <w:t>was completed</w:t>
      </w:r>
      <w:r w:rsidRPr="0057173C">
        <w:rPr>
          <w:rFonts w:ascii="Arial" w:hAnsi="Arial" w:cs="Arial"/>
        </w:rPr>
        <w:t xml:space="preserve"> on 13 January 2023.  On 2 February 2023, the Respondent completed the relevant documentation to inform the Department for Communities of this change in his circumstances.</w:t>
      </w:r>
    </w:p>
    <w:p w14:paraId="493A599B" w14:textId="77777777" w:rsidR="00C748CE" w:rsidRPr="0057173C" w:rsidRDefault="00C748CE" w:rsidP="007D4AFE">
      <w:pPr>
        <w:pStyle w:val="ListParagraph"/>
        <w:tabs>
          <w:tab w:val="left" w:pos="510"/>
          <w:tab w:val="left" w:pos="567"/>
          <w:tab w:val="left" w:pos="1077"/>
          <w:tab w:val="left" w:pos="1797"/>
        </w:tabs>
        <w:ind w:left="510" w:hanging="510"/>
        <w:jc w:val="both"/>
        <w:rPr>
          <w:rFonts w:ascii="Arial" w:hAnsi="Arial" w:cs="Arial"/>
        </w:rPr>
      </w:pPr>
    </w:p>
    <w:p w14:paraId="5E8C5870" w14:textId="0CEEB15A" w:rsidR="00B719E8" w:rsidRPr="0057173C" w:rsidRDefault="00B719E8" w:rsidP="007D4AFE">
      <w:pPr>
        <w:pStyle w:val="ListParagraph"/>
        <w:numPr>
          <w:ilvl w:val="0"/>
          <w:numId w:val="5"/>
        </w:numPr>
        <w:tabs>
          <w:tab w:val="left" w:pos="510"/>
          <w:tab w:val="left" w:pos="567"/>
          <w:tab w:val="left" w:pos="1077"/>
          <w:tab w:val="left" w:pos="1797"/>
        </w:tabs>
        <w:ind w:left="510" w:hanging="510"/>
        <w:jc w:val="both"/>
        <w:rPr>
          <w:rFonts w:ascii="Arial" w:hAnsi="Arial" w:cs="Arial"/>
        </w:rPr>
      </w:pPr>
      <w:r w:rsidRPr="0057173C">
        <w:rPr>
          <w:rFonts w:ascii="Arial" w:hAnsi="Arial" w:cs="Arial"/>
        </w:rPr>
        <w:t>On 27 February 2023, a decision</w:t>
      </w:r>
      <w:r w:rsidR="009B49F5" w:rsidRPr="0057173C">
        <w:rPr>
          <w:rFonts w:ascii="Arial" w:hAnsi="Arial" w:cs="Arial"/>
        </w:rPr>
        <w:t>-</w:t>
      </w:r>
      <w:r w:rsidRPr="0057173C">
        <w:rPr>
          <w:rFonts w:ascii="Arial" w:hAnsi="Arial" w:cs="Arial"/>
        </w:rPr>
        <w:t xml:space="preserve">maker determined that a total of £72,000 (the value of the property (£80,000) less 10% for cost of sale) was to be included in the Respondent’s SPC assessment </w:t>
      </w:r>
      <w:proofErr w:type="gramStart"/>
      <w:r w:rsidRPr="0057173C">
        <w:rPr>
          <w:rFonts w:ascii="Arial" w:hAnsi="Arial" w:cs="Arial"/>
        </w:rPr>
        <w:t>from</w:t>
      </w:r>
      <w:proofErr w:type="gramEnd"/>
      <w:r w:rsidRPr="0057173C">
        <w:rPr>
          <w:rFonts w:ascii="Arial" w:hAnsi="Arial" w:cs="Arial"/>
        </w:rPr>
        <w:t xml:space="preserve"> 19 January 2023.  This resulted in a reduced entitlement to </w:t>
      </w:r>
      <w:proofErr w:type="gramStart"/>
      <w:r w:rsidRPr="0057173C">
        <w:rPr>
          <w:rFonts w:ascii="Arial" w:hAnsi="Arial" w:cs="Arial"/>
        </w:rPr>
        <w:t>SPC</w:t>
      </w:r>
      <w:proofErr w:type="gramEnd"/>
      <w:r w:rsidRPr="0057173C">
        <w:rPr>
          <w:rFonts w:ascii="Arial" w:hAnsi="Arial" w:cs="Arial"/>
        </w:rPr>
        <w:t xml:space="preserve"> and the Respondent was notified accordingly.</w:t>
      </w:r>
    </w:p>
    <w:p w14:paraId="4929A551" w14:textId="3C168E2E" w:rsidR="00B719E8" w:rsidRPr="0057173C" w:rsidRDefault="00B719E8" w:rsidP="007D4AFE">
      <w:pPr>
        <w:tabs>
          <w:tab w:val="left" w:pos="510"/>
          <w:tab w:val="left" w:pos="1077"/>
          <w:tab w:val="left" w:pos="1797"/>
        </w:tabs>
        <w:ind w:left="510" w:hanging="510"/>
        <w:jc w:val="both"/>
        <w:rPr>
          <w:rFonts w:ascii="Arial" w:hAnsi="Arial" w:cs="Arial"/>
        </w:rPr>
      </w:pPr>
    </w:p>
    <w:p w14:paraId="5DB7EC17" w14:textId="77777777" w:rsidR="00C67FD8" w:rsidRPr="0057173C" w:rsidRDefault="00B719E8" w:rsidP="007D4AFE">
      <w:pPr>
        <w:pStyle w:val="ListParagraph"/>
        <w:numPr>
          <w:ilvl w:val="0"/>
          <w:numId w:val="5"/>
        </w:numPr>
        <w:tabs>
          <w:tab w:val="left" w:pos="510"/>
          <w:tab w:val="left" w:pos="567"/>
          <w:tab w:val="left" w:pos="1077"/>
          <w:tab w:val="left" w:pos="1797"/>
        </w:tabs>
        <w:ind w:left="510" w:hanging="510"/>
        <w:jc w:val="both"/>
        <w:rPr>
          <w:rFonts w:ascii="Arial" w:hAnsi="Arial" w:cs="Arial"/>
        </w:rPr>
      </w:pPr>
      <w:r w:rsidRPr="0057173C">
        <w:rPr>
          <w:rFonts w:ascii="Arial" w:hAnsi="Arial" w:cs="Arial"/>
        </w:rPr>
        <w:t xml:space="preserve">After a mandatory reconsideration made no change to the decision, the Respondent appealed to the Appeal Tribunal.  He argued that the NIHE property was purchased from the proceeds of his personal injury compensation payment which </w:t>
      </w:r>
      <w:r w:rsidR="00D709C4" w:rsidRPr="0057173C">
        <w:rPr>
          <w:rFonts w:ascii="Arial" w:hAnsi="Arial" w:cs="Arial"/>
        </w:rPr>
        <w:t>should be</w:t>
      </w:r>
      <w:r w:rsidRPr="0057173C">
        <w:rPr>
          <w:rFonts w:ascii="Arial" w:hAnsi="Arial" w:cs="Arial"/>
        </w:rPr>
        <w:t xml:space="preserve"> disregarded for the purposes of his SPC calculation.</w:t>
      </w:r>
    </w:p>
    <w:p w14:paraId="73E91C1F" w14:textId="77777777" w:rsidR="00C67FD8" w:rsidRPr="0057173C" w:rsidRDefault="00C67FD8" w:rsidP="007D4AFE">
      <w:pPr>
        <w:pStyle w:val="ListParagraph"/>
        <w:tabs>
          <w:tab w:val="left" w:pos="510"/>
          <w:tab w:val="left" w:pos="1077"/>
          <w:tab w:val="left" w:pos="1797"/>
        </w:tabs>
        <w:ind w:left="510" w:hanging="510"/>
        <w:rPr>
          <w:rFonts w:ascii="Arial" w:hAnsi="Arial" w:cs="Arial"/>
        </w:rPr>
      </w:pPr>
    </w:p>
    <w:p w14:paraId="50E8D56F" w14:textId="262A359A" w:rsidR="00C67FD8" w:rsidRPr="0057173C" w:rsidRDefault="00B719E8" w:rsidP="007D4AFE">
      <w:pPr>
        <w:pStyle w:val="ListParagraph"/>
        <w:numPr>
          <w:ilvl w:val="0"/>
          <w:numId w:val="5"/>
        </w:numPr>
        <w:tabs>
          <w:tab w:val="left" w:pos="510"/>
          <w:tab w:val="left" w:pos="567"/>
          <w:tab w:val="left" w:pos="1077"/>
          <w:tab w:val="left" w:pos="1797"/>
        </w:tabs>
        <w:ind w:left="510" w:hanging="510"/>
        <w:jc w:val="both"/>
        <w:rPr>
          <w:rFonts w:ascii="Arial" w:hAnsi="Arial" w:cs="Arial"/>
        </w:rPr>
      </w:pPr>
      <w:r w:rsidRPr="0057173C">
        <w:rPr>
          <w:rFonts w:ascii="Arial" w:hAnsi="Arial" w:cs="Arial"/>
        </w:rPr>
        <w:t>On 10 April 2024, the Appeal Tribunal allowed the appeal.  The Tribunal found that the Respondent had purchased his former NIHE rented property from the proceeds of his personal injury payment, the value of which was £80,000 but the Respondent had benefited from a renter’s discount.  Having converted the sum of £48,500 from his personal injury payment into real property by virtue of the purchase, the Tribunal concluded that the indefinite disregard, outlined in Regulation 17(8) of</w:t>
      </w:r>
      <w:r w:rsidR="00D709C4" w:rsidRPr="0057173C">
        <w:rPr>
          <w:rFonts w:ascii="Arial" w:hAnsi="Arial" w:cs="Arial"/>
        </w:rPr>
        <w:t>,</w:t>
      </w:r>
      <w:r w:rsidRPr="0057173C">
        <w:rPr>
          <w:rFonts w:ascii="Arial" w:hAnsi="Arial" w:cs="Arial"/>
        </w:rPr>
        <w:t xml:space="preserve"> and paragraph 16(1) of Schedule 5 to</w:t>
      </w:r>
      <w:r w:rsidR="00D709C4" w:rsidRPr="0057173C">
        <w:rPr>
          <w:rFonts w:ascii="Arial" w:hAnsi="Arial" w:cs="Arial"/>
        </w:rPr>
        <w:t>,</w:t>
      </w:r>
      <w:r w:rsidRPr="0057173C">
        <w:rPr>
          <w:rFonts w:ascii="Arial" w:hAnsi="Arial" w:cs="Arial"/>
        </w:rPr>
        <w:t xml:space="preserve"> the State Pension Credit Regulations (NI) 2003</w:t>
      </w:r>
      <w:r w:rsidR="00C67FD8" w:rsidRPr="0057173C">
        <w:rPr>
          <w:rFonts w:ascii="Arial" w:hAnsi="Arial" w:cs="Arial"/>
        </w:rPr>
        <w:t xml:space="preserve"> (the 2003 Regulations)</w:t>
      </w:r>
      <w:r w:rsidRPr="0057173C">
        <w:rPr>
          <w:rFonts w:ascii="Arial" w:hAnsi="Arial" w:cs="Arial"/>
        </w:rPr>
        <w:t xml:space="preserve">, extends to investments made and acquired </w:t>
      </w:r>
      <w:proofErr w:type="spellStart"/>
      <w:r w:rsidRPr="0057173C">
        <w:rPr>
          <w:rFonts w:ascii="Arial" w:hAnsi="Arial" w:cs="Arial"/>
        </w:rPr>
        <w:t>utilising</w:t>
      </w:r>
      <w:proofErr w:type="spellEnd"/>
      <w:r w:rsidRPr="0057173C">
        <w:rPr>
          <w:rFonts w:ascii="Arial" w:hAnsi="Arial" w:cs="Arial"/>
        </w:rPr>
        <w:t xml:space="preserve"> the proceeds of a personal injury payment.</w:t>
      </w:r>
    </w:p>
    <w:p w14:paraId="0F50ED0D" w14:textId="77777777" w:rsidR="00C67FD8" w:rsidRPr="0057173C" w:rsidRDefault="00C67FD8" w:rsidP="007D4AFE">
      <w:pPr>
        <w:pStyle w:val="ListParagraph"/>
        <w:tabs>
          <w:tab w:val="left" w:pos="510"/>
          <w:tab w:val="left" w:pos="1077"/>
          <w:tab w:val="left" w:pos="1797"/>
        </w:tabs>
        <w:ind w:left="510" w:hanging="510"/>
        <w:rPr>
          <w:rFonts w:ascii="Arial" w:hAnsi="Arial" w:cs="Arial"/>
        </w:rPr>
      </w:pPr>
    </w:p>
    <w:p w14:paraId="2EA2CA84" w14:textId="77777777" w:rsidR="00B719E8" w:rsidRPr="0057173C" w:rsidRDefault="00B719E8" w:rsidP="007D4AFE">
      <w:pPr>
        <w:pStyle w:val="ListParagraph"/>
        <w:numPr>
          <w:ilvl w:val="0"/>
          <w:numId w:val="5"/>
        </w:numPr>
        <w:tabs>
          <w:tab w:val="left" w:pos="510"/>
          <w:tab w:val="left" w:pos="567"/>
          <w:tab w:val="left" w:pos="1077"/>
          <w:tab w:val="left" w:pos="1797"/>
        </w:tabs>
        <w:ind w:left="510" w:hanging="510"/>
        <w:jc w:val="both"/>
        <w:rPr>
          <w:rFonts w:ascii="Arial" w:hAnsi="Arial" w:cs="Arial"/>
        </w:rPr>
      </w:pPr>
      <w:r w:rsidRPr="0057173C">
        <w:rPr>
          <w:rFonts w:ascii="Arial" w:hAnsi="Arial" w:cs="Arial"/>
        </w:rPr>
        <w:t xml:space="preserve">The Department was granted leave to appeal the decision of the Tribunal by the Legally Qualified Member on </w:t>
      </w:r>
      <w:r w:rsidR="006075FE" w:rsidRPr="0057173C">
        <w:rPr>
          <w:rFonts w:ascii="Arial" w:hAnsi="Arial" w:cs="Arial"/>
        </w:rPr>
        <w:t>24 July 2024</w:t>
      </w:r>
      <w:r w:rsidRPr="0057173C">
        <w:rPr>
          <w:rFonts w:ascii="Arial" w:hAnsi="Arial" w:cs="Arial"/>
        </w:rPr>
        <w:t>.  The matter was determined appropriate to be heard by a Tribunal of Commissioners, by Direction of the Chief Social Security Commissioner dated 15 January 2025.</w:t>
      </w:r>
      <w:r w:rsidR="00444AA7" w:rsidRPr="0057173C">
        <w:rPr>
          <w:rFonts w:ascii="Arial" w:hAnsi="Arial" w:cs="Arial"/>
        </w:rPr>
        <w:t xml:space="preserve">  The appeal was </w:t>
      </w:r>
      <w:proofErr w:type="gramStart"/>
      <w:r w:rsidR="00444AA7" w:rsidRPr="0057173C">
        <w:rPr>
          <w:rFonts w:ascii="Arial" w:hAnsi="Arial" w:cs="Arial"/>
        </w:rPr>
        <w:t>listed</w:t>
      </w:r>
      <w:proofErr w:type="gramEnd"/>
      <w:r w:rsidR="00444AA7" w:rsidRPr="0057173C">
        <w:rPr>
          <w:rFonts w:ascii="Arial" w:hAnsi="Arial" w:cs="Arial"/>
        </w:rPr>
        <w:t xml:space="preserve"> to take place before the Tribunal of Commissioners on Wednesday 8 October 2025.</w:t>
      </w:r>
    </w:p>
    <w:p w14:paraId="363FE5AC" w14:textId="77777777" w:rsidR="00B719E8" w:rsidRPr="0057173C" w:rsidRDefault="00B719E8" w:rsidP="00581A65">
      <w:pPr>
        <w:tabs>
          <w:tab w:val="left" w:pos="510"/>
          <w:tab w:val="left" w:pos="1077"/>
          <w:tab w:val="left" w:pos="1797"/>
        </w:tabs>
        <w:jc w:val="both"/>
        <w:rPr>
          <w:rFonts w:ascii="Arial" w:hAnsi="Arial" w:cs="Arial"/>
        </w:rPr>
      </w:pPr>
    </w:p>
    <w:p w14:paraId="4C5AC868" w14:textId="05960916" w:rsidR="00444AA7" w:rsidRPr="0057173C" w:rsidRDefault="002A0814" w:rsidP="00581A65">
      <w:pPr>
        <w:tabs>
          <w:tab w:val="left" w:pos="510"/>
          <w:tab w:val="left" w:pos="1077"/>
          <w:tab w:val="left" w:pos="1797"/>
        </w:tabs>
        <w:jc w:val="both"/>
        <w:rPr>
          <w:rFonts w:ascii="Arial" w:hAnsi="Arial" w:cs="Arial"/>
          <w:b/>
          <w:bCs/>
        </w:rPr>
      </w:pPr>
      <w:r>
        <w:rPr>
          <w:rFonts w:ascii="Arial" w:hAnsi="Arial" w:cs="Arial"/>
          <w:b/>
          <w:bCs/>
        </w:rPr>
        <w:tab/>
      </w:r>
      <w:r w:rsidR="00B719E8" w:rsidRPr="0057173C">
        <w:rPr>
          <w:rFonts w:ascii="Arial" w:hAnsi="Arial" w:cs="Arial"/>
          <w:b/>
          <w:bCs/>
        </w:rPr>
        <w:t xml:space="preserve">The </w:t>
      </w:r>
      <w:r w:rsidR="00444AA7" w:rsidRPr="0057173C">
        <w:rPr>
          <w:rFonts w:ascii="Arial" w:hAnsi="Arial" w:cs="Arial"/>
          <w:b/>
          <w:bCs/>
        </w:rPr>
        <w:t>Application to Withdraw</w:t>
      </w:r>
    </w:p>
    <w:p w14:paraId="51C71E37" w14:textId="77777777" w:rsidR="00444AA7" w:rsidRPr="006E3339" w:rsidRDefault="00444AA7" w:rsidP="00581A65">
      <w:pPr>
        <w:tabs>
          <w:tab w:val="left" w:pos="510"/>
          <w:tab w:val="left" w:pos="1077"/>
          <w:tab w:val="left" w:pos="1797"/>
        </w:tabs>
        <w:jc w:val="both"/>
        <w:rPr>
          <w:rFonts w:ascii="Arial" w:hAnsi="Arial" w:cs="Arial"/>
        </w:rPr>
      </w:pPr>
    </w:p>
    <w:p w14:paraId="5EDEF50D" w14:textId="3A2415EC" w:rsidR="0021346B" w:rsidRPr="0057173C" w:rsidRDefault="009B49F5" w:rsidP="008B226D">
      <w:pPr>
        <w:pStyle w:val="ListParagraph"/>
        <w:numPr>
          <w:ilvl w:val="0"/>
          <w:numId w:val="5"/>
        </w:numPr>
        <w:tabs>
          <w:tab w:val="left" w:pos="510"/>
          <w:tab w:val="left" w:pos="567"/>
          <w:tab w:val="left" w:pos="1077"/>
          <w:tab w:val="left" w:pos="1797"/>
        </w:tabs>
        <w:ind w:left="510" w:hanging="510"/>
        <w:jc w:val="both"/>
        <w:rPr>
          <w:rFonts w:ascii="Arial" w:hAnsi="Arial" w:cs="Arial"/>
        </w:rPr>
      </w:pPr>
      <w:r w:rsidRPr="0057173C">
        <w:rPr>
          <w:rFonts w:ascii="Arial" w:hAnsi="Arial" w:cs="Arial"/>
        </w:rPr>
        <w:t>On</w:t>
      </w:r>
      <w:r w:rsidR="00444AA7" w:rsidRPr="0057173C">
        <w:rPr>
          <w:rFonts w:ascii="Arial" w:hAnsi="Arial" w:cs="Arial"/>
        </w:rPr>
        <w:t xml:space="preserve"> </w:t>
      </w:r>
      <w:r w:rsidRPr="0057173C">
        <w:rPr>
          <w:rFonts w:ascii="Arial" w:hAnsi="Arial" w:cs="Arial"/>
        </w:rPr>
        <w:t>1 October 2025</w:t>
      </w:r>
      <w:r w:rsidR="00444AA7" w:rsidRPr="0057173C">
        <w:rPr>
          <w:rFonts w:ascii="Arial" w:hAnsi="Arial" w:cs="Arial"/>
        </w:rPr>
        <w:t xml:space="preserve">, the Appellant submitted a written application to withdraw the appeal.  This was not opposed by the Respondent.  The parties appeared before the Commissioners on 8 October 2025, by way of video conferencing technology, </w:t>
      </w:r>
      <w:proofErr w:type="gramStart"/>
      <w:r w:rsidR="00444AA7" w:rsidRPr="0057173C">
        <w:rPr>
          <w:rFonts w:ascii="Arial" w:hAnsi="Arial" w:cs="Arial"/>
        </w:rPr>
        <w:t>in order for</w:t>
      </w:r>
      <w:proofErr w:type="gramEnd"/>
      <w:r w:rsidR="00444AA7" w:rsidRPr="0057173C">
        <w:rPr>
          <w:rFonts w:ascii="Arial" w:hAnsi="Arial" w:cs="Arial"/>
        </w:rPr>
        <w:t xml:space="preserve"> the withdrawal application to be considered.  </w:t>
      </w:r>
      <w:r w:rsidRPr="0057173C">
        <w:rPr>
          <w:rFonts w:ascii="Arial" w:hAnsi="Arial" w:cs="Arial"/>
        </w:rPr>
        <w:t>Both parties had submitted skeleton arguments prior to the application being heard</w:t>
      </w:r>
      <w:r w:rsidR="00250BA5" w:rsidRPr="0057173C">
        <w:rPr>
          <w:rFonts w:ascii="Arial" w:hAnsi="Arial" w:cs="Arial"/>
        </w:rPr>
        <w:t xml:space="preserve"> in which the main issue (the interpretation of paragraph 16(1) of Schedule 5 to the 2003 Regulations) was extensively argued.</w:t>
      </w:r>
    </w:p>
    <w:p w14:paraId="2A6BE218" w14:textId="77777777" w:rsidR="0021346B" w:rsidRPr="0057173C" w:rsidRDefault="0021346B" w:rsidP="008B226D">
      <w:pPr>
        <w:pStyle w:val="ListParagraph"/>
        <w:tabs>
          <w:tab w:val="left" w:pos="510"/>
          <w:tab w:val="left" w:pos="567"/>
          <w:tab w:val="left" w:pos="1077"/>
          <w:tab w:val="left" w:pos="1797"/>
        </w:tabs>
        <w:ind w:left="510" w:hanging="510"/>
        <w:jc w:val="both"/>
        <w:rPr>
          <w:rFonts w:ascii="Arial" w:hAnsi="Arial" w:cs="Arial"/>
          <w:i/>
          <w:iCs/>
        </w:rPr>
      </w:pPr>
    </w:p>
    <w:p w14:paraId="07CD7B8E" w14:textId="77777777" w:rsidR="00444AA7" w:rsidRPr="0057173C" w:rsidRDefault="00444AA7" w:rsidP="008B226D">
      <w:pPr>
        <w:pStyle w:val="ListParagraph"/>
        <w:numPr>
          <w:ilvl w:val="0"/>
          <w:numId w:val="5"/>
        </w:numPr>
        <w:tabs>
          <w:tab w:val="left" w:pos="510"/>
          <w:tab w:val="left" w:pos="567"/>
          <w:tab w:val="left" w:pos="1077"/>
          <w:tab w:val="left" w:pos="1797"/>
        </w:tabs>
        <w:ind w:left="510" w:hanging="510"/>
        <w:jc w:val="both"/>
        <w:rPr>
          <w:rFonts w:ascii="Arial" w:hAnsi="Arial" w:cs="Arial"/>
        </w:rPr>
      </w:pPr>
      <w:r w:rsidRPr="0057173C">
        <w:rPr>
          <w:rFonts w:ascii="Arial" w:hAnsi="Arial" w:cs="Arial"/>
        </w:rPr>
        <w:t xml:space="preserve">The Appellant submitted that it sought to withdraw the appeal as, having undertaken further research in relation to </w:t>
      </w:r>
      <w:r w:rsidR="009B49F5" w:rsidRPr="0057173C">
        <w:rPr>
          <w:rFonts w:ascii="Arial" w:hAnsi="Arial" w:cs="Arial"/>
        </w:rPr>
        <w:t>the practical operation of paragraph 16(1) of Schedule 5 to the 2003</w:t>
      </w:r>
      <w:r w:rsidR="00C67FD8" w:rsidRPr="0057173C">
        <w:rPr>
          <w:rFonts w:ascii="Arial" w:hAnsi="Arial" w:cs="Arial"/>
        </w:rPr>
        <w:t xml:space="preserve"> Regulations</w:t>
      </w:r>
      <w:r w:rsidR="009B49F5" w:rsidRPr="0057173C">
        <w:rPr>
          <w:rFonts w:ascii="Arial" w:hAnsi="Arial" w:cs="Arial"/>
        </w:rPr>
        <w:t xml:space="preserve">, including guidance provided by the Department of Work and Pensions in Great Britain, the decision of the </w:t>
      </w:r>
      <w:r w:rsidR="00C80B33" w:rsidRPr="0057173C">
        <w:rPr>
          <w:rFonts w:ascii="Arial" w:hAnsi="Arial" w:cs="Arial"/>
        </w:rPr>
        <w:t>Appeal Tribunal</w:t>
      </w:r>
      <w:r w:rsidR="009B49F5" w:rsidRPr="0057173C">
        <w:rPr>
          <w:rFonts w:ascii="Arial" w:hAnsi="Arial" w:cs="Arial"/>
        </w:rPr>
        <w:t xml:space="preserve"> dated 10 April 2024 was correct.  The Appellant conceded that that the capital</w:t>
      </w:r>
      <w:r w:rsidR="00250BA5" w:rsidRPr="0057173C">
        <w:rPr>
          <w:rFonts w:ascii="Arial" w:hAnsi="Arial" w:cs="Arial"/>
        </w:rPr>
        <w:t xml:space="preserve"> </w:t>
      </w:r>
      <w:r w:rsidR="00250BA5" w:rsidRPr="0057173C">
        <w:rPr>
          <w:rFonts w:ascii="Arial" w:hAnsi="Arial" w:cs="Arial"/>
          <w:i/>
          <w:iCs/>
        </w:rPr>
        <w:t>value of</w:t>
      </w:r>
      <w:r w:rsidR="009B49F5" w:rsidRPr="0057173C">
        <w:rPr>
          <w:rFonts w:ascii="Arial" w:hAnsi="Arial" w:cs="Arial"/>
        </w:rPr>
        <w:t xml:space="preserve"> the second </w:t>
      </w:r>
      <w:r w:rsidR="00250BA5" w:rsidRPr="0057173C">
        <w:rPr>
          <w:rFonts w:ascii="Arial" w:hAnsi="Arial" w:cs="Arial"/>
        </w:rPr>
        <w:t>property</w:t>
      </w:r>
      <w:r w:rsidR="009B49F5" w:rsidRPr="0057173C">
        <w:rPr>
          <w:rFonts w:ascii="Arial" w:hAnsi="Arial" w:cs="Arial"/>
        </w:rPr>
        <w:t xml:space="preserve"> </w:t>
      </w:r>
      <w:r w:rsidR="00BE47D0" w:rsidRPr="0057173C">
        <w:rPr>
          <w:rFonts w:ascii="Arial" w:hAnsi="Arial" w:cs="Arial"/>
        </w:rPr>
        <w:t>should</w:t>
      </w:r>
      <w:r w:rsidR="009B49F5" w:rsidRPr="0057173C">
        <w:rPr>
          <w:rFonts w:ascii="Arial" w:hAnsi="Arial" w:cs="Arial"/>
        </w:rPr>
        <w:t xml:space="preserve"> be disregarded in accordance with paragraph 16 of Schedule 5 to </w:t>
      </w:r>
      <w:r w:rsidR="004F0FD2" w:rsidRPr="0057173C">
        <w:rPr>
          <w:rFonts w:ascii="Arial" w:hAnsi="Arial" w:cs="Arial"/>
        </w:rPr>
        <w:t>the 2003</w:t>
      </w:r>
      <w:r w:rsidR="00D01BD7" w:rsidRPr="0057173C">
        <w:rPr>
          <w:rFonts w:ascii="Arial" w:hAnsi="Arial" w:cs="Arial"/>
        </w:rPr>
        <w:t xml:space="preserve"> </w:t>
      </w:r>
      <w:r w:rsidR="004F0FD2" w:rsidRPr="0057173C">
        <w:rPr>
          <w:rFonts w:ascii="Arial" w:hAnsi="Arial" w:cs="Arial"/>
        </w:rPr>
        <w:t>Regulation</w:t>
      </w:r>
      <w:r w:rsidR="00C67FD8" w:rsidRPr="0057173C">
        <w:rPr>
          <w:rFonts w:ascii="Arial" w:hAnsi="Arial" w:cs="Arial"/>
        </w:rPr>
        <w:t>s</w:t>
      </w:r>
      <w:r w:rsidR="009B49F5" w:rsidRPr="0057173C">
        <w:rPr>
          <w:rFonts w:ascii="Arial" w:hAnsi="Arial" w:cs="Arial"/>
        </w:rPr>
        <w:t xml:space="preserve">.  As the Appellant no longer took issue with the </w:t>
      </w:r>
      <w:r w:rsidR="00A730DE" w:rsidRPr="0057173C">
        <w:rPr>
          <w:rFonts w:ascii="Arial" w:hAnsi="Arial" w:cs="Arial"/>
        </w:rPr>
        <w:t>Appeal Tribunal</w:t>
      </w:r>
      <w:r w:rsidR="009B49F5" w:rsidRPr="0057173C">
        <w:rPr>
          <w:rFonts w:ascii="Arial" w:hAnsi="Arial" w:cs="Arial"/>
        </w:rPr>
        <w:t xml:space="preserve">’s decision, it sought to withdraw the appeal.  The Respondent welcomed the application.  Both parties </w:t>
      </w:r>
      <w:r w:rsidR="00E35B54" w:rsidRPr="0057173C">
        <w:rPr>
          <w:rFonts w:ascii="Arial" w:hAnsi="Arial" w:cs="Arial"/>
        </w:rPr>
        <w:t xml:space="preserve">thereafter </w:t>
      </w:r>
      <w:r w:rsidR="009B49F5" w:rsidRPr="0057173C">
        <w:rPr>
          <w:rFonts w:ascii="Arial" w:hAnsi="Arial" w:cs="Arial"/>
        </w:rPr>
        <w:t xml:space="preserve">sought the Commissioners’ clarification </w:t>
      </w:r>
      <w:proofErr w:type="gramStart"/>
      <w:r w:rsidR="009B49F5" w:rsidRPr="0057173C">
        <w:rPr>
          <w:rFonts w:ascii="Arial" w:hAnsi="Arial" w:cs="Arial"/>
        </w:rPr>
        <w:t>on</w:t>
      </w:r>
      <w:proofErr w:type="gramEnd"/>
      <w:r w:rsidR="009B49F5" w:rsidRPr="0057173C">
        <w:rPr>
          <w:rFonts w:ascii="Arial" w:hAnsi="Arial" w:cs="Arial"/>
        </w:rPr>
        <w:t xml:space="preserve"> the law </w:t>
      </w:r>
      <w:proofErr w:type="gramStart"/>
      <w:r w:rsidR="009B49F5" w:rsidRPr="0057173C">
        <w:rPr>
          <w:rFonts w:ascii="Arial" w:hAnsi="Arial" w:cs="Arial"/>
        </w:rPr>
        <w:t>in order to</w:t>
      </w:r>
      <w:proofErr w:type="gramEnd"/>
      <w:r w:rsidR="009B49F5" w:rsidRPr="0057173C">
        <w:rPr>
          <w:rFonts w:ascii="Arial" w:hAnsi="Arial" w:cs="Arial"/>
        </w:rPr>
        <w:t xml:space="preserve"> provide </w:t>
      </w:r>
      <w:r w:rsidR="00250BA5" w:rsidRPr="0057173C">
        <w:rPr>
          <w:rFonts w:ascii="Arial" w:hAnsi="Arial" w:cs="Arial"/>
        </w:rPr>
        <w:t>guidance</w:t>
      </w:r>
      <w:r w:rsidR="009B49F5" w:rsidRPr="0057173C">
        <w:rPr>
          <w:rFonts w:ascii="Arial" w:hAnsi="Arial" w:cs="Arial"/>
        </w:rPr>
        <w:t xml:space="preserve"> for future decisions arising in similar circumstances.</w:t>
      </w:r>
    </w:p>
    <w:p w14:paraId="710998FA" w14:textId="77777777" w:rsidR="00444AA7" w:rsidRPr="0057173C" w:rsidRDefault="00444AA7" w:rsidP="00581A65">
      <w:pPr>
        <w:tabs>
          <w:tab w:val="left" w:pos="510"/>
          <w:tab w:val="left" w:pos="1077"/>
          <w:tab w:val="left" w:pos="1797"/>
        </w:tabs>
        <w:jc w:val="both"/>
        <w:rPr>
          <w:rFonts w:ascii="Arial" w:hAnsi="Arial" w:cs="Arial"/>
        </w:rPr>
      </w:pPr>
    </w:p>
    <w:p w14:paraId="22C6BF6A" w14:textId="77777777" w:rsidR="006E3339" w:rsidRPr="00332547" w:rsidRDefault="006E3339">
      <w:pPr>
        <w:widowControl/>
        <w:autoSpaceDE/>
        <w:autoSpaceDN/>
        <w:adjustRightInd/>
        <w:rPr>
          <w:rFonts w:ascii="Arial" w:hAnsi="Arial" w:cs="Arial"/>
        </w:rPr>
      </w:pPr>
      <w:r>
        <w:rPr>
          <w:rFonts w:ascii="Arial" w:hAnsi="Arial" w:cs="Arial"/>
          <w:b/>
          <w:bCs/>
        </w:rPr>
        <w:br w:type="page"/>
      </w:r>
    </w:p>
    <w:p w14:paraId="183E96F9" w14:textId="23E8530C" w:rsidR="00B719E8" w:rsidRPr="0057173C" w:rsidRDefault="006E3339" w:rsidP="00581A65">
      <w:pPr>
        <w:tabs>
          <w:tab w:val="left" w:pos="510"/>
          <w:tab w:val="left" w:pos="1077"/>
          <w:tab w:val="left" w:pos="1797"/>
        </w:tabs>
        <w:jc w:val="both"/>
        <w:rPr>
          <w:rFonts w:ascii="Arial" w:hAnsi="Arial" w:cs="Arial"/>
          <w:b/>
          <w:bCs/>
        </w:rPr>
      </w:pPr>
      <w:r>
        <w:rPr>
          <w:rFonts w:ascii="Arial" w:hAnsi="Arial" w:cs="Arial"/>
          <w:b/>
          <w:bCs/>
        </w:rPr>
        <w:lastRenderedPageBreak/>
        <w:tab/>
      </w:r>
      <w:r w:rsidR="00444AA7" w:rsidRPr="0057173C">
        <w:rPr>
          <w:rFonts w:ascii="Arial" w:hAnsi="Arial" w:cs="Arial"/>
          <w:b/>
          <w:bCs/>
        </w:rPr>
        <w:t xml:space="preserve">The </w:t>
      </w:r>
      <w:r w:rsidR="00B719E8" w:rsidRPr="0057173C">
        <w:rPr>
          <w:rFonts w:ascii="Arial" w:hAnsi="Arial" w:cs="Arial"/>
          <w:b/>
          <w:bCs/>
        </w:rPr>
        <w:t>Law</w:t>
      </w:r>
    </w:p>
    <w:p w14:paraId="34329484" w14:textId="77777777" w:rsidR="006075FE" w:rsidRPr="006E3339" w:rsidRDefault="006075FE" w:rsidP="00581A65">
      <w:pPr>
        <w:tabs>
          <w:tab w:val="left" w:pos="510"/>
          <w:tab w:val="left" w:pos="1077"/>
          <w:tab w:val="left" w:pos="1797"/>
        </w:tabs>
        <w:jc w:val="both"/>
        <w:rPr>
          <w:rFonts w:ascii="Arial" w:hAnsi="Arial" w:cs="Arial"/>
        </w:rPr>
      </w:pPr>
    </w:p>
    <w:p w14:paraId="13785F6D" w14:textId="3DAA06FF" w:rsidR="00B719E8" w:rsidRPr="0057173C" w:rsidRDefault="00E35B54" w:rsidP="00294673">
      <w:pPr>
        <w:tabs>
          <w:tab w:val="left" w:pos="510"/>
          <w:tab w:val="left" w:pos="567"/>
          <w:tab w:val="left" w:pos="1077"/>
          <w:tab w:val="left" w:pos="1797"/>
        </w:tabs>
        <w:ind w:left="510" w:hanging="510"/>
        <w:jc w:val="both"/>
        <w:rPr>
          <w:rFonts w:ascii="Arial" w:hAnsi="Arial" w:cs="Arial"/>
        </w:rPr>
      </w:pPr>
      <w:r w:rsidRPr="0057173C">
        <w:rPr>
          <w:rFonts w:ascii="Arial" w:hAnsi="Arial" w:cs="Arial"/>
        </w:rPr>
        <w:t>8</w:t>
      </w:r>
      <w:r w:rsidR="006075FE" w:rsidRPr="0057173C">
        <w:rPr>
          <w:rFonts w:ascii="Arial" w:hAnsi="Arial" w:cs="Arial"/>
        </w:rPr>
        <w:t>.</w:t>
      </w:r>
      <w:r w:rsidR="00C748CE" w:rsidRPr="0057173C">
        <w:rPr>
          <w:rFonts w:ascii="Arial" w:hAnsi="Arial" w:cs="Arial"/>
        </w:rPr>
        <w:tab/>
      </w:r>
      <w:r w:rsidR="00B719E8" w:rsidRPr="0057173C">
        <w:rPr>
          <w:rFonts w:ascii="Arial" w:hAnsi="Arial" w:cs="Arial"/>
        </w:rPr>
        <w:t xml:space="preserve">The law in relation to </w:t>
      </w:r>
      <w:r w:rsidR="003D2562" w:rsidRPr="0057173C">
        <w:rPr>
          <w:rFonts w:ascii="Arial" w:hAnsi="Arial" w:cs="Arial"/>
        </w:rPr>
        <w:t>SPC</w:t>
      </w:r>
      <w:r w:rsidR="00B719E8" w:rsidRPr="0057173C">
        <w:rPr>
          <w:rFonts w:ascii="Arial" w:hAnsi="Arial" w:cs="Arial"/>
        </w:rPr>
        <w:t xml:space="preserve"> is set out in the State Pension Credit Act (Northern Ireland) 2002 and the 2003 Regulations.  Regulation 17(8) and Schedule 5 of the 2003 Regulations </w:t>
      </w:r>
      <w:r w:rsidRPr="0057173C">
        <w:rPr>
          <w:rFonts w:ascii="Arial" w:hAnsi="Arial" w:cs="Arial"/>
        </w:rPr>
        <w:t>provide</w:t>
      </w:r>
      <w:r w:rsidR="00B719E8" w:rsidRPr="0057173C">
        <w:rPr>
          <w:rFonts w:ascii="Arial" w:hAnsi="Arial" w:cs="Arial"/>
        </w:rPr>
        <w:t xml:space="preserve"> that certain capital assets are to be disregarded when assessing a claimant’s entitlement to SPC.  Paragraph 16(1) of Schedule 5 to the 2003 </w:t>
      </w:r>
      <w:r w:rsidR="00444AA7" w:rsidRPr="0057173C">
        <w:rPr>
          <w:rFonts w:ascii="Arial" w:hAnsi="Arial" w:cs="Arial"/>
        </w:rPr>
        <w:t>Regulations</w:t>
      </w:r>
      <w:r w:rsidR="00B719E8" w:rsidRPr="0057173C">
        <w:rPr>
          <w:rFonts w:ascii="Arial" w:hAnsi="Arial" w:cs="Arial"/>
        </w:rPr>
        <w:t xml:space="preserve"> states that an amount equal to the amount of any payment made in consequence of a personal injury to the claimant, or their partner, is to be disregarded from the SPC assessment:</w:t>
      </w:r>
    </w:p>
    <w:p w14:paraId="0BF1996A" w14:textId="77777777" w:rsidR="00444AA7" w:rsidRPr="0057173C" w:rsidRDefault="00444AA7" w:rsidP="00294673">
      <w:pPr>
        <w:tabs>
          <w:tab w:val="left" w:pos="510"/>
          <w:tab w:val="left" w:pos="1077"/>
          <w:tab w:val="left" w:pos="1797"/>
        </w:tabs>
        <w:ind w:left="510" w:hanging="510"/>
        <w:jc w:val="both"/>
        <w:rPr>
          <w:rFonts w:ascii="Arial" w:hAnsi="Arial" w:cs="Arial"/>
        </w:rPr>
      </w:pPr>
    </w:p>
    <w:p w14:paraId="4E972F8E" w14:textId="3B2F1747" w:rsidR="00B719E8" w:rsidRDefault="00294673" w:rsidP="00294673">
      <w:pPr>
        <w:tabs>
          <w:tab w:val="left" w:pos="510"/>
          <w:tab w:val="left" w:pos="1077"/>
          <w:tab w:val="left" w:pos="1797"/>
        </w:tabs>
        <w:ind w:left="510" w:hanging="510"/>
        <w:jc w:val="both"/>
        <w:rPr>
          <w:rFonts w:ascii="Arial" w:hAnsi="Arial" w:cs="Arial"/>
          <w:i/>
          <w:iCs/>
        </w:rPr>
      </w:pPr>
      <w:r>
        <w:rPr>
          <w:rFonts w:ascii="Arial" w:hAnsi="Arial" w:cs="Arial"/>
          <w:i/>
          <w:iCs/>
        </w:rPr>
        <w:tab/>
      </w:r>
      <w:r w:rsidR="00B719E8" w:rsidRPr="0057173C">
        <w:rPr>
          <w:rFonts w:ascii="Arial" w:hAnsi="Arial" w:cs="Arial"/>
          <w:i/>
          <w:iCs/>
        </w:rPr>
        <w:t>16.-(1) An amount equal to the amount of any payment made in consequence of any personal injury to the claimant or, if the claimant has a partner, to the partner.</w:t>
      </w:r>
    </w:p>
    <w:p w14:paraId="349DEC2F" w14:textId="77777777" w:rsidR="00294673" w:rsidRPr="0057173C" w:rsidRDefault="00294673" w:rsidP="00294673">
      <w:pPr>
        <w:tabs>
          <w:tab w:val="left" w:pos="510"/>
          <w:tab w:val="left" w:pos="1077"/>
          <w:tab w:val="left" w:pos="1797"/>
        </w:tabs>
        <w:ind w:left="510" w:hanging="510"/>
        <w:jc w:val="both"/>
        <w:rPr>
          <w:rFonts w:ascii="Arial" w:hAnsi="Arial" w:cs="Arial"/>
          <w:i/>
          <w:iCs/>
        </w:rPr>
      </w:pPr>
    </w:p>
    <w:p w14:paraId="19082F55" w14:textId="0F09E093" w:rsidR="00A634F0" w:rsidRDefault="00294673" w:rsidP="00294673">
      <w:pPr>
        <w:tabs>
          <w:tab w:val="left" w:pos="510"/>
          <w:tab w:val="left" w:pos="1077"/>
          <w:tab w:val="left" w:pos="1797"/>
        </w:tabs>
        <w:ind w:left="510" w:hanging="510"/>
        <w:jc w:val="both"/>
        <w:rPr>
          <w:rFonts w:ascii="Arial" w:hAnsi="Arial" w:cs="Arial"/>
          <w:i/>
          <w:iCs/>
          <w:lang w:val="en-GB"/>
        </w:rPr>
      </w:pPr>
      <w:r>
        <w:rPr>
          <w:rFonts w:ascii="Arial" w:hAnsi="Arial" w:cs="Arial"/>
          <w:i/>
          <w:iCs/>
          <w:lang w:val="en-GB"/>
        </w:rPr>
        <w:tab/>
      </w:r>
      <w:r w:rsidR="00A634F0" w:rsidRPr="0057173C">
        <w:rPr>
          <w:rFonts w:ascii="Arial" w:hAnsi="Arial" w:cs="Arial"/>
          <w:i/>
          <w:iCs/>
          <w:lang w:val="en-GB"/>
        </w:rPr>
        <w:t>(2)</w:t>
      </w:r>
      <w:r w:rsidR="00332547">
        <w:rPr>
          <w:rFonts w:ascii="Arial" w:hAnsi="Arial" w:cs="Arial"/>
          <w:i/>
          <w:iCs/>
          <w:lang w:val="en-GB"/>
        </w:rPr>
        <w:t xml:space="preserve">  </w:t>
      </w:r>
      <w:r w:rsidR="00A634F0" w:rsidRPr="0057173C">
        <w:rPr>
          <w:rFonts w:ascii="Arial" w:hAnsi="Arial" w:cs="Arial"/>
          <w:i/>
          <w:iCs/>
          <w:lang w:val="en-GB"/>
        </w:rPr>
        <w:t>Where the whole or part of the payment is administered–</w:t>
      </w:r>
    </w:p>
    <w:p w14:paraId="60C6BF51" w14:textId="77777777" w:rsidR="00294673" w:rsidRPr="0057173C" w:rsidRDefault="00294673" w:rsidP="00294673">
      <w:pPr>
        <w:tabs>
          <w:tab w:val="left" w:pos="510"/>
          <w:tab w:val="left" w:pos="1077"/>
          <w:tab w:val="left" w:pos="1797"/>
        </w:tabs>
        <w:ind w:left="510" w:hanging="510"/>
        <w:jc w:val="both"/>
        <w:rPr>
          <w:rFonts w:ascii="Arial" w:hAnsi="Arial" w:cs="Arial"/>
          <w:i/>
          <w:iCs/>
          <w:lang w:val="en-GB"/>
        </w:rPr>
      </w:pPr>
    </w:p>
    <w:p w14:paraId="6A0C9410" w14:textId="0661E585" w:rsidR="00A634F0" w:rsidRDefault="00294673" w:rsidP="00294673">
      <w:pPr>
        <w:tabs>
          <w:tab w:val="left" w:pos="510"/>
          <w:tab w:val="left" w:pos="1077"/>
          <w:tab w:val="left" w:pos="1797"/>
        </w:tabs>
        <w:ind w:left="510" w:hanging="510"/>
        <w:jc w:val="both"/>
        <w:rPr>
          <w:rFonts w:ascii="Arial" w:hAnsi="Arial" w:cs="Arial"/>
          <w:i/>
          <w:iCs/>
          <w:lang w:val="en-GB"/>
        </w:rPr>
      </w:pPr>
      <w:r>
        <w:rPr>
          <w:rFonts w:ascii="Arial" w:hAnsi="Arial" w:cs="Arial"/>
          <w:i/>
          <w:iCs/>
          <w:lang w:val="en-GB"/>
        </w:rPr>
        <w:tab/>
      </w:r>
      <w:r w:rsidR="00A634F0" w:rsidRPr="0057173C">
        <w:rPr>
          <w:rFonts w:ascii="Arial" w:hAnsi="Arial" w:cs="Arial"/>
          <w:i/>
          <w:iCs/>
          <w:lang w:val="en-GB"/>
        </w:rPr>
        <w:t>(a)</w:t>
      </w:r>
      <w:r w:rsidR="00332547">
        <w:rPr>
          <w:rFonts w:ascii="Arial" w:hAnsi="Arial" w:cs="Arial"/>
          <w:i/>
          <w:iCs/>
          <w:lang w:val="en-GB"/>
        </w:rPr>
        <w:t xml:space="preserve">  </w:t>
      </w:r>
      <w:r w:rsidR="00A634F0" w:rsidRPr="0057173C">
        <w:rPr>
          <w:rFonts w:ascii="Arial" w:hAnsi="Arial" w:cs="Arial"/>
          <w:i/>
          <w:iCs/>
          <w:lang w:val="en-GB"/>
        </w:rPr>
        <w:t>by the High Court or the County Court under the provisions of</w:t>
      </w:r>
      <w:r>
        <w:rPr>
          <w:rFonts w:ascii="Arial" w:hAnsi="Arial" w:cs="Arial"/>
          <w:i/>
          <w:iCs/>
          <w:lang w:val="en-GB"/>
        </w:rPr>
        <w:t xml:space="preserve"> </w:t>
      </w:r>
      <w:hyperlink r:id="rId7" w:history="1">
        <w:r w:rsidR="00A634F0" w:rsidRPr="0057173C">
          <w:rPr>
            <w:rStyle w:val="Hyperlink"/>
            <w:rFonts w:ascii="Arial" w:hAnsi="Arial" w:cs="Arial"/>
            <w:i/>
            <w:iCs/>
            <w:color w:val="auto"/>
            <w:u w:val="none"/>
            <w:lang w:val="en-GB"/>
          </w:rPr>
          <w:t>Order 80</w:t>
        </w:r>
      </w:hyperlink>
      <w:r>
        <w:t xml:space="preserve"> </w:t>
      </w:r>
      <w:r w:rsidR="00A634F0" w:rsidRPr="0057173C">
        <w:rPr>
          <w:rFonts w:ascii="Arial" w:hAnsi="Arial" w:cs="Arial"/>
          <w:i/>
          <w:iCs/>
          <w:lang w:val="en-GB"/>
        </w:rPr>
        <w:t>or</w:t>
      </w:r>
      <w:r>
        <w:rPr>
          <w:rFonts w:ascii="Arial" w:hAnsi="Arial" w:cs="Arial"/>
          <w:i/>
          <w:iCs/>
          <w:lang w:val="en-GB"/>
        </w:rPr>
        <w:t xml:space="preserve"> </w:t>
      </w:r>
      <w:hyperlink r:id="rId8" w:history="1">
        <w:r w:rsidR="00A634F0" w:rsidRPr="0057173C">
          <w:rPr>
            <w:rStyle w:val="Hyperlink"/>
            <w:rFonts w:ascii="Arial" w:hAnsi="Arial" w:cs="Arial"/>
            <w:i/>
            <w:iCs/>
            <w:color w:val="auto"/>
            <w:u w:val="none"/>
            <w:lang w:val="en-GB"/>
          </w:rPr>
          <w:t>109</w:t>
        </w:r>
      </w:hyperlink>
      <w:r>
        <w:t xml:space="preserve"> </w:t>
      </w:r>
      <w:r w:rsidR="00A634F0" w:rsidRPr="0057173C">
        <w:rPr>
          <w:rFonts w:ascii="Arial" w:hAnsi="Arial" w:cs="Arial"/>
          <w:i/>
          <w:iCs/>
          <w:lang w:val="en-GB"/>
        </w:rPr>
        <w:t>of the</w:t>
      </w:r>
      <w:r>
        <w:rPr>
          <w:rFonts w:ascii="Arial" w:hAnsi="Arial" w:cs="Arial"/>
          <w:i/>
          <w:iCs/>
          <w:lang w:val="en-GB"/>
        </w:rPr>
        <w:t xml:space="preserve"> </w:t>
      </w:r>
      <w:r w:rsidR="00A634F0" w:rsidRPr="00294673">
        <w:rPr>
          <w:rFonts w:ascii="Arial" w:hAnsi="Arial" w:cs="Arial"/>
          <w:i/>
          <w:iCs/>
          <w:lang w:val="en-GB"/>
        </w:rPr>
        <w:t>Rules of the Supreme Court (Northern Ireland) 1980</w:t>
      </w:r>
      <w:r>
        <w:rPr>
          <w:rFonts w:ascii="Arial" w:hAnsi="Arial" w:cs="Arial"/>
          <w:i/>
          <w:iCs/>
          <w:lang w:val="en-GB"/>
        </w:rPr>
        <w:t xml:space="preserve"> </w:t>
      </w:r>
      <w:r w:rsidR="00A634F0" w:rsidRPr="0057173C">
        <w:rPr>
          <w:rFonts w:ascii="Arial" w:hAnsi="Arial" w:cs="Arial"/>
          <w:i/>
          <w:iCs/>
          <w:lang w:val="en-GB"/>
        </w:rPr>
        <w:t>or by a County Court under</w:t>
      </w:r>
      <w:r>
        <w:rPr>
          <w:rFonts w:ascii="Arial" w:hAnsi="Arial" w:cs="Arial"/>
          <w:i/>
          <w:iCs/>
          <w:lang w:val="en-GB"/>
        </w:rPr>
        <w:t xml:space="preserve"> </w:t>
      </w:r>
      <w:r w:rsidR="00A634F0" w:rsidRPr="00294673">
        <w:rPr>
          <w:rFonts w:ascii="Arial" w:hAnsi="Arial" w:cs="Arial"/>
          <w:i/>
          <w:iCs/>
          <w:lang w:val="en-GB"/>
        </w:rPr>
        <w:t>Order 44</w:t>
      </w:r>
      <w:r>
        <w:rPr>
          <w:rFonts w:ascii="Arial" w:hAnsi="Arial" w:cs="Arial"/>
          <w:i/>
          <w:iCs/>
          <w:lang w:val="en-GB"/>
        </w:rPr>
        <w:t xml:space="preserve"> </w:t>
      </w:r>
      <w:r w:rsidR="00A634F0" w:rsidRPr="0057173C">
        <w:rPr>
          <w:rFonts w:ascii="Arial" w:hAnsi="Arial" w:cs="Arial"/>
          <w:i/>
          <w:iCs/>
          <w:lang w:val="en-GB"/>
        </w:rPr>
        <w:t>of the</w:t>
      </w:r>
      <w:r>
        <w:rPr>
          <w:rFonts w:ascii="Arial" w:hAnsi="Arial" w:cs="Arial"/>
          <w:i/>
          <w:iCs/>
          <w:lang w:val="en-GB"/>
        </w:rPr>
        <w:t xml:space="preserve"> </w:t>
      </w:r>
      <w:hyperlink r:id="rId9" w:history="1">
        <w:r w:rsidR="00A634F0" w:rsidRPr="0057173C">
          <w:rPr>
            <w:rStyle w:val="Hyperlink"/>
            <w:rFonts w:ascii="Arial" w:hAnsi="Arial" w:cs="Arial"/>
            <w:i/>
            <w:iCs/>
            <w:color w:val="auto"/>
            <w:u w:val="none"/>
            <w:lang w:val="en-GB"/>
          </w:rPr>
          <w:t>County Court Rules (Northern Ireland) 1981</w:t>
        </w:r>
      </w:hyperlink>
      <w:r>
        <w:t xml:space="preserve"> </w:t>
      </w:r>
      <w:r w:rsidR="00A634F0" w:rsidRPr="0057173C">
        <w:rPr>
          <w:rFonts w:ascii="Arial" w:hAnsi="Arial" w:cs="Arial"/>
          <w:i/>
          <w:iCs/>
          <w:lang w:val="en-GB"/>
        </w:rPr>
        <w:t>or</w:t>
      </w:r>
      <w:r>
        <w:rPr>
          <w:rFonts w:ascii="Arial" w:hAnsi="Arial" w:cs="Arial"/>
          <w:i/>
          <w:iCs/>
          <w:lang w:val="en-GB"/>
        </w:rPr>
        <w:t xml:space="preserve"> </w:t>
      </w:r>
      <w:hyperlink r:id="rId10" w:history="1">
        <w:r w:rsidR="00A634F0" w:rsidRPr="0057173C">
          <w:rPr>
            <w:rStyle w:val="Hyperlink"/>
            <w:rFonts w:ascii="Arial" w:hAnsi="Arial" w:cs="Arial"/>
            <w:i/>
            <w:iCs/>
            <w:color w:val="auto"/>
            <w:u w:val="none"/>
            <w:lang w:val="en-GB"/>
          </w:rPr>
          <w:t>Article 21</w:t>
        </w:r>
      </w:hyperlink>
      <w:r>
        <w:t xml:space="preserve"> </w:t>
      </w:r>
      <w:r w:rsidR="00A634F0" w:rsidRPr="0057173C">
        <w:rPr>
          <w:rFonts w:ascii="Arial" w:hAnsi="Arial" w:cs="Arial"/>
          <w:i/>
          <w:iCs/>
          <w:lang w:val="en-GB"/>
        </w:rPr>
        <w:t>of the</w:t>
      </w:r>
      <w:r>
        <w:rPr>
          <w:rFonts w:ascii="Arial" w:hAnsi="Arial" w:cs="Arial"/>
          <w:i/>
          <w:iCs/>
          <w:lang w:val="en-GB"/>
        </w:rPr>
        <w:t xml:space="preserve"> </w:t>
      </w:r>
      <w:hyperlink r:id="rId11" w:history="1">
        <w:r w:rsidR="00A634F0" w:rsidRPr="0057173C">
          <w:rPr>
            <w:rStyle w:val="Hyperlink"/>
            <w:rFonts w:ascii="Arial" w:hAnsi="Arial" w:cs="Arial"/>
            <w:i/>
            <w:iCs/>
            <w:color w:val="auto"/>
            <w:u w:val="none"/>
            <w:lang w:val="en-GB"/>
          </w:rPr>
          <w:t>County Courts (Northern Ireland) Order 1980</w:t>
        </w:r>
      </w:hyperlink>
      <w:r>
        <w:rPr>
          <w:rFonts w:ascii="Arial" w:hAnsi="Arial" w:cs="Arial"/>
          <w:i/>
          <w:iCs/>
          <w:lang w:val="en-GB"/>
        </w:rPr>
        <w:t xml:space="preserve"> </w:t>
      </w:r>
      <w:r w:rsidR="00A634F0" w:rsidRPr="0057173C">
        <w:rPr>
          <w:rFonts w:ascii="Arial" w:hAnsi="Arial" w:cs="Arial"/>
          <w:i/>
          <w:iCs/>
          <w:lang w:val="en-GB"/>
        </w:rPr>
        <w:t>on behalf of a person where the payment can only be disposed of by order or direction of any such court; or</w:t>
      </w:r>
    </w:p>
    <w:p w14:paraId="28DD7C01" w14:textId="77777777" w:rsidR="00294673" w:rsidRPr="0057173C" w:rsidRDefault="00294673" w:rsidP="00294673">
      <w:pPr>
        <w:tabs>
          <w:tab w:val="left" w:pos="510"/>
          <w:tab w:val="left" w:pos="1077"/>
          <w:tab w:val="left" w:pos="1797"/>
        </w:tabs>
        <w:ind w:left="510" w:hanging="510"/>
        <w:jc w:val="both"/>
        <w:rPr>
          <w:rFonts w:ascii="Arial" w:hAnsi="Arial" w:cs="Arial"/>
          <w:i/>
          <w:iCs/>
          <w:lang w:val="en-GB"/>
        </w:rPr>
      </w:pPr>
    </w:p>
    <w:p w14:paraId="7F990EE3" w14:textId="51FE7793" w:rsidR="003D2562" w:rsidRDefault="00294673" w:rsidP="00294673">
      <w:pPr>
        <w:tabs>
          <w:tab w:val="left" w:pos="510"/>
          <w:tab w:val="left" w:pos="1077"/>
          <w:tab w:val="left" w:pos="1797"/>
        </w:tabs>
        <w:ind w:left="510" w:hanging="510"/>
        <w:jc w:val="both"/>
        <w:rPr>
          <w:rFonts w:ascii="Arial" w:hAnsi="Arial" w:cs="Arial"/>
          <w:i/>
          <w:iCs/>
          <w:lang w:val="en-GB"/>
        </w:rPr>
      </w:pPr>
      <w:r>
        <w:rPr>
          <w:rFonts w:ascii="Arial" w:hAnsi="Arial" w:cs="Arial"/>
          <w:i/>
          <w:iCs/>
          <w:lang w:val="en-GB"/>
        </w:rPr>
        <w:tab/>
      </w:r>
      <w:r w:rsidR="00A634F0" w:rsidRPr="0057173C">
        <w:rPr>
          <w:rFonts w:ascii="Arial" w:hAnsi="Arial" w:cs="Arial"/>
          <w:i/>
          <w:iCs/>
          <w:lang w:val="en-GB"/>
        </w:rPr>
        <w:t>(b)</w:t>
      </w:r>
      <w:r w:rsidR="00332547">
        <w:rPr>
          <w:rFonts w:ascii="Arial" w:hAnsi="Arial" w:cs="Arial"/>
          <w:i/>
          <w:iCs/>
          <w:lang w:val="en-GB"/>
        </w:rPr>
        <w:t xml:space="preserve">  </w:t>
      </w:r>
      <w:r w:rsidR="00A634F0" w:rsidRPr="0057173C">
        <w:rPr>
          <w:rFonts w:ascii="Arial" w:hAnsi="Arial" w:cs="Arial"/>
          <w:i/>
          <w:iCs/>
          <w:lang w:val="en-GB"/>
        </w:rPr>
        <w:t>in accordance with the terms of a trust established for the benefit of the claimant or his partner,</w:t>
      </w:r>
    </w:p>
    <w:p w14:paraId="782C5BFF" w14:textId="77777777" w:rsidR="00294673" w:rsidRPr="0057173C" w:rsidRDefault="00294673" w:rsidP="00294673">
      <w:pPr>
        <w:tabs>
          <w:tab w:val="left" w:pos="510"/>
          <w:tab w:val="left" w:pos="1077"/>
          <w:tab w:val="left" w:pos="1797"/>
        </w:tabs>
        <w:ind w:left="510" w:hanging="510"/>
        <w:jc w:val="both"/>
        <w:rPr>
          <w:rFonts w:ascii="Arial" w:hAnsi="Arial" w:cs="Arial"/>
          <w:i/>
          <w:iCs/>
          <w:lang w:val="en-GB"/>
        </w:rPr>
      </w:pPr>
    </w:p>
    <w:p w14:paraId="2DDD1BF1" w14:textId="446B6BB2" w:rsidR="00A634F0" w:rsidRPr="0057173C" w:rsidRDefault="00294673" w:rsidP="00294673">
      <w:pPr>
        <w:tabs>
          <w:tab w:val="left" w:pos="510"/>
          <w:tab w:val="left" w:pos="1077"/>
          <w:tab w:val="left" w:pos="1797"/>
        </w:tabs>
        <w:ind w:left="510" w:hanging="510"/>
        <w:jc w:val="both"/>
        <w:rPr>
          <w:rFonts w:ascii="Arial" w:hAnsi="Arial" w:cs="Arial"/>
          <w:i/>
          <w:iCs/>
          <w:lang w:val="en-GB"/>
        </w:rPr>
      </w:pPr>
      <w:r>
        <w:rPr>
          <w:rFonts w:ascii="Arial" w:hAnsi="Arial" w:cs="Arial"/>
          <w:i/>
          <w:iCs/>
          <w:lang w:val="en-GB"/>
        </w:rPr>
        <w:tab/>
      </w:r>
      <w:r w:rsidR="00A634F0" w:rsidRPr="0057173C">
        <w:rPr>
          <w:rFonts w:ascii="Arial" w:hAnsi="Arial" w:cs="Arial"/>
          <w:i/>
          <w:iCs/>
          <w:lang w:val="en-GB"/>
        </w:rPr>
        <w:t>the whole of the amount so administered.</w:t>
      </w:r>
    </w:p>
    <w:p w14:paraId="1685C199" w14:textId="77777777" w:rsidR="00BD46D0" w:rsidRPr="00294673" w:rsidRDefault="00BD46D0" w:rsidP="00581A65">
      <w:pPr>
        <w:tabs>
          <w:tab w:val="left" w:pos="510"/>
          <w:tab w:val="left" w:pos="1077"/>
          <w:tab w:val="left" w:pos="1797"/>
        </w:tabs>
        <w:jc w:val="both"/>
        <w:rPr>
          <w:rFonts w:ascii="Arial" w:hAnsi="Arial" w:cs="Arial"/>
        </w:rPr>
      </w:pPr>
    </w:p>
    <w:p w14:paraId="2460C447" w14:textId="494661F5" w:rsidR="00BD46D0" w:rsidRPr="0057173C" w:rsidRDefault="00294673" w:rsidP="00581A65">
      <w:pPr>
        <w:tabs>
          <w:tab w:val="left" w:pos="510"/>
          <w:tab w:val="left" w:pos="1077"/>
          <w:tab w:val="left" w:pos="1797"/>
        </w:tabs>
        <w:jc w:val="both"/>
        <w:rPr>
          <w:rFonts w:ascii="Arial" w:hAnsi="Arial" w:cs="Arial"/>
          <w:b/>
          <w:bCs/>
        </w:rPr>
      </w:pPr>
      <w:r>
        <w:rPr>
          <w:rFonts w:ascii="Arial" w:hAnsi="Arial" w:cs="Arial"/>
          <w:b/>
          <w:bCs/>
        </w:rPr>
        <w:tab/>
      </w:r>
      <w:r w:rsidR="00BD46D0" w:rsidRPr="0057173C">
        <w:rPr>
          <w:rFonts w:ascii="Arial" w:hAnsi="Arial" w:cs="Arial"/>
          <w:b/>
          <w:bCs/>
        </w:rPr>
        <w:t>The interpretation</w:t>
      </w:r>
    </w:p>
    <w:p w14:paraId="2F56AC63" w14:textId="77777777" w:rsidR="00BD46D0" w:rsidRPr="0057173C" w:rsidRDefault="00BD46D0" w:rsidP="00581A65">
      <w:pPr>
        <w:tabs>
          <w:tab w:val="left" w:pos="510"/>
          <w:tab w:val="left" w:pos="1077"/>
          <w:tab w:val="left" w:pos="1797"/>
        </w:tabs>
        <w:jc w:val="both"/>
        <w:rPr>
          <w:rFonts w:ascii="Arial" w:hAnsi="Arial" w:cs="Arial"/>
        </w:rPr>
      </w:pPr>
    </w:p>
    <w:p w14:paraId="2B202E94" w14:textId="1B844357" w:rsidR="0021346B" w:rsidRPr="0057173C" w:rsidRDefault="00FB588D" w:rsidP="007A3B84">
      <w:pPr>
        <w:pStyle w:val="ListParagraph"/>
        <w:numPr>
          <w:ilvl w:val="0"/>
          <w:numId w:val="6"/>
        </w:numPr>
        <w:tabs>
          <w:tab w:val="left" w:pos="510"/>
          <w:tab w:val="left" w:pos="567"/>
          <w:tab w:val="left" w:pos="1077"/>
          <w:tab w:val="left" w:pos="1797"/>
        </w:tabs>
        <w:ind w:left="510" w:hanging="510"/>
        <w:jc w:val="both"/>
        <w:rPr>
          <w:rFonts w:ascii="Arial" w:hAnsi="Arial" w:cs="Arial"/>
        </w:rPr>
      </w:pPr>
      <w:r w:rsidRPr="0057173C">
        <w:rPr>
          <w:rFonts w:ascii="Arial" w:hAnsi="Arial" w:cs="Arial"/>
        </w:rPr>
        <w:t>The parties submit</w:t>
      </w:r>
      <w:r w:rsidR="00E35B54" w:rsidRPr="0057173C">
        <w:rPr>
          <w:rFonts w:ascii="Arial" w:hAnsi="Arial" w:cs="Arial"/>
        </w:rPr>
        <w:t xml:space="preserve"> that paragraph 16(1) of Schedule 5 to the 2003 Regulations requires consideration of an amount equal to the amount of any payment made in consequence of a personal injury</w:t>
      </w:r>
      <w:r w:rsidR="00250BA5" w:rsidRPr="0057173C">
        <w:rPr>
          <w:rFonts w:ascii="Arial" w:hAnsi="Arial" w:cs="Arial"/>
        </w:rPr>
        <w:t>.</w:t>
      </w:r>
      <w:r w:rsidR="00E35B54" w:rsidRPr="0057173C">
        <w:rPr>
          <w:rFonts w:ascii="Arial" w:hAnsi="Arial" w:cs="Arial"/>
        </w:rPr>
        <w:t xml:space="preserve"> </w:t>
      </w:r>
      <w:r w:rsidR="00507B1A">
        <w:rPr>
          <w:rFonts w:ascii="Arial" w:hAnsi="Arial" w:cs="Arial"/>
        </w:rPr>
        <w:t xml:space="preserve"> </w:t>
      </w:r>
      <w:r w:rsidR="00E35B54" w:rsidRPr="0057173C">
        <w:rPr>
          <w:rFonts w:ascii="Arial" w:hAnsi="Arial" w:cs="Arial"/>
        </w:rPr>
        <w:t xml:space="preserve">While the </w:t>
      </w:r>
      <w:r w:rsidR="00FF3BD7" w:rsidRPr="0057173C">
        <w:rPr>
          <w:rFonts w:ascii="Arial" w:hAnsi="Arial" w:cs="Arial"/>
        </w:rPr>
        <w:t>sum that was received</w:t>
      </w:r>
      <w:r w:rsidR="00E35B54" w:rsidRPr="0057173C">
        <w:rPr>
          <w:rFonts w:ascii="Arial" w:hAnsi="Arial" w:cs="Arial"/>
        </w:rPr>
        <w:t xml:space="preserve"> may</w:t>
      </w:r>
      <w:r w:rsidR="00FF3BD7" w:rsidRPr="0057173C">
        <w:rPr>
          <w:rFonts w:ascii="Arial" w:hAnsi="Arial" w:cs="Arial"/>
        </w:rPr>
        <w:t xml:space="preserve"> subsequently c</w:t>
      </w:r>
      <w:r w:rsidR="00E35B54" w:rsidRPr="0057173C">
        <w:rPr>
          <w:rFonts w:ascii="Arial" w:hAnsi="Arial" w:cs="Arial"/>
        </w:rPr>
        <w:t xml:space="preserve">hange in form or in value (for example, through a property purchase or </w:t>
      </w:r>
      <w:r w:rsidR="0095158C" w:rsidRPr="0057173C">
        <w:rPr>
          <w:rFonts w:ascii="Arial" w:hAnsi="Arial" w:cs="Arial"/>
        </w:rPr>
        <w:t>other</w:t>
      </w:r>
      <w:r w:rsidR="00E35B54" w:rsidRPr="0057173C">
        <w:rPr>
          <w:rFonts w:ascii="Arial" w:hAnsi="Arial" w:cs="Arial"/>
        </w:rPr>
        <w:t xml:space="preserve"> investment), the disregard to be applied within a SPC </w:t>
      </w:r>
      <w:r w:rsidR="00FF3BD7" w:rsidRPr="0057173C">
        <w:rPr>
          <w:rFonts w:ascii="Arial" w:hAnsi="Arial" w:cs="Arial"/>
        </w:rPr>
        <w:t>assessment</w:t>
      </w:r>
      <w:r w:rsidR="00E35B54" w:rsidRPr="0057173C">
        <w:rPr>
          <w:rFonts w:ascii="Arial" w:hAnsi="Arial" w:cs="Arial"/>
        </w:rPr>
        <w:t xml:space="preserve"> is </w:t>
      </w:r>
      <w:r w:rsidR="00E35B54" w:rsidRPr="0057173C">
        <w:rPr>
          <w:rFonts w:ascii="Arial" w:hAnsi="Arial" w:cs="Arial"/>
          <w:i/>
          <w:iCs/>
        </w:rPr>
        <w:t>an amount equal</w:t>
      </w:r>
      <w:r w:rsidR="00E35B54" w:rsidRPr="0057173C">
        <w:rPr>
          <w:rFonts w:ascii="Arial" w:hAnsi="Arial" w:cs="Arial"/>
        </w:rPr>
        <w:t xml:space="preserve"> to the </w:t>
      </w:r>
      <w:r w:rsidR="00BD46D0" w:rsidRPr="0057173C">
        <w:rPr>
          <w:rFonts w:ascii="Arial" w:hAnsi="Arial" w:cs="Arial"/>
          <w:i/>
          <w:iCs/>
        </w:rPr>
        <w:t>initial</w:t>
      </w:r>
      <w:r w:rsidR="00E35B54" w:rsidRPr="0057173C">
        <w:rPr>
          <w:rFonts w:ascii="Arial" w:hAnsi="Arial" w:cs="Arial"/>
        </w:rPr>
        <w:t xml:space="preserve"> payment made in respect of</w:t>
      </w:r>
      <w:r w:rsidR="00BD46D0" w:rsidRPr="0057173C">
        <w:rPr>
          <w:rFonts w:ascii="Arial" w:hAnsi="Arial" w:cs="Arial"/>
        </w:rPr>
        <w:t xml:space="preserve"> the</w:t>
      </w:r>
      <w:r w:rsidR="00E35B54" w:rsidRPr="0057173C">
        <w:rPr>
          <w:rFonts w:ascii="Arial" w:hAnsi="Arial" w:cs="Arial"/>
        </w:rPr>
        <w:t xml:space="preserve"> </w:t>
      </w:r>
      <w:r w:rsidR="00BD46D0" w:rsidRPr="0057173C">
        <w:rPr>
          <w:rFonts w:ascii="Arial" w:hAnsi="Arial" w:cs="Arial"/>
        </w:rPr>
        <w:t>personal</w:t>
      </w:r>
      <w:r w:rsidR="00E35B54" w:rsidRPr="0057173C">
        <w:rPr>
          <w:rFonts w:ascii="Arial" w:hAnsi="Arial" w:cs="Arial"/>
        </w:rPr>
        <w:t xml:space="preserve"> injury</w:t>
      </w:r>
      <w:r w:rsidR="00BD46D0" w:rsidRPr="0057173C">
        <w:rPr>
          <w:rFonts w:ascii="Arial" w:hAnsi="Arial" w:cs="Arial"/>
        </w:rPr>
        <w:t xml:space="preserve">.  </w:t>
      </w:r>
      <w:r w:rsidR="000655C3" w:rsidRPr="0057173C">
        <w:rPr>
          <w:rFonts w:ascii="Arial" w:hAnsi="Arial" w:cs="Arial"/>
        </w:rPr>
        <w:t>A subsequent increase or decrease in value</w:t>
      </w:r>
      <w:r w:rsidR="0034761F" w:rsidRPr="0057173C">
        <w:rPr>
          <w:rFonts w:ascii="Arial" w:hAnsi="Arial" w:cs="Arial"/>
        </w:rPr>
        <w:t xml:space="preserve"> of an investment, or spending </w:t>
      </w:r>
      <w:r w:rsidR="00CC483E" w:rsidRPr="0057173C">
        <w:rPr>
          <w:rFonts w:ascii="Arial" w:hAnsi="Arial" w:cs="Arial"/>
        </w:rPr>
        <w:t>the compensation received,</w:t>
      </w:r>
      <w:r w:rsidR="00BD46D0" w:rsidRPr="0057173C">
        <w:rPr>
          <w:rFonts w:ascii="Arial" w:hAnsi="Arial" w:cs="Arial"/>
        </w:rPr>
        <w:t xml:space="preserve"> does not impact upon the disregard</w:t>
      </w:r>
      <w:r w:rsidR="003D2562" w:rsidRPr="0057173C">
        <w:rPr>
          <w:rFonts w:ascii="Arial" w:hAnsi="Arial" w:cs="Arial"/>
        </w:rPr>
        <w:t>.</w:t>
      </w:r>
      <w:r w:rsidR="00BD46D0" w:rsidRPr="0057173C">
        <w:rPr>
          <w:rFonts w:ascii="Arial" w:hAnsi="Arial" w:cs="Arial"/>
        </w:rPr>
        <w:t xml:space="preserve">  Any element of growth does not benefit from an increased disregard.  Similarly, if the investment decreases, the amount of</w:t>
      </w:r>
      <w:r w:rsidR="00FF3BD7" w:rsidRPr="0057173C">
        <w:rPr>
          <w:rFonts w:ascii="Arial" w:hAnsi="Arial" w:cs="Arial"/>
        </w:rPr>
        <w:t xml:space="preserve"> </w:t>
      </w:r>
      <w:proofErr w:type="gramStart"/>
      <w:r w:rsidR="00FF3BD7" w:rsidRPr="0057173C">
        <w:rPr>
          <w:rFonts w:ascii="Arial" w:hAnsi="Arial" w:cs="Arial"/>
        </w:rPr>
        <w:t>the disregard</w:t>
      </w:r>
      <w:proofErr w:type="gramEnd"/>
      <w:r w:rsidR="00BD46D0" w:rsidRPr="0057173C">
        <w:rPr>
          <w:rFonts w:ascii="Arial" w:hAnsi="Arial" w:cs="Arial"/>
        </w:rPr>
        <w:t xml:space="preserve"> does not reduce.</w:t>
      </w:r>
    </w:p>
    <w:p w14:paraId="0CA7AABA" w14:textId="77777777" w:rsidR="0021346B" w:rsidRPr="0057173C" w:rsidRDefault="0021346B" w:rsidP="007A3B84">
      <w:pPr>
        <w:pStyle w:val="ListParagraph"/>
        <w:tabs>
          <w:tab w:val="left" w:pos="510"/>
          <w:tab w:val="left" w:pos="567"/>
          <w:tab w:val="left" w:pos="1077"/>
          <w:tab w:val="left" w:pos="1797"/>
        </w:tabs>
        <w:ind w:left="510" w:hanging="510"/>
        <w:jc w:val="both"/>
        <w:rPr>
          <w:rFonts w:ascii="Arial" w:hAnsi="Arial" w:cs="Arial"/>
        </w:rPr>
      </w:pPr>
    </w:p>
    <w:p w14:paraId="174D5593" w14:textId="02993D60" w:rsidR="00FB588D" w:rsidRPr="0057173C" w:rsidRDefault="00EE4247" w:rsidP="007A3B84">
      <w:pPr>
        <w:pStyle w:val="ListParagraph"/>
        <w:numPr>
          <w:ilvl w:val="0"/>
          <w:numId w:val="6"/>
        </w:numPr>
        <w:tabs>
          <w:tab w:val="left" w:pos="510"/>
          <w:tab w:val="left" w:pos="567"/>
          <w:tab w:val="left" w:pos="1077"/>
          <w:tab w:val="left" w:pos="1797"/>
        </w:tabs>
        <w:ind w:left="510" w:hanging="510"/>
        <w:jc w:val="both"/>
        <w:rPr>
          <w:rFonts w:ascii="Arial" w:hAnsi="Arial" w:cs="Arial"/>
        </w:rPr>
      </w:pPr>
      <w:r w:rsidRPr="0057173C">
        <w:rPr>
          <w:rFonts w:ascii="Arial" w:hAnsi="Arial" w:cs="Arial"/>
        </w:rPr>
        <w:t>The task for us is to seek to identify the meaning of the words used by the legislator in t</w:t>
      </w:r>
      <w:r w:rsidR="00FD4A49" w:rsidRPr="0057173C">
        <w:rPr>
          <w:rFonts w:ascii="Arial" w:hAnsi="Arial" w:cs="Arial"/>
        </w:rPr>
        <w:t>heir</w:t>
      </w:r>
      <w:r w:rsidRPr="0057173C">
        <w:rPr>
          <w:rFonts w:ascii="Arial" w:hAnsi="Arial" w:cs="Arial"/>
        </w:rPr>
        <w:t xml:space="preserve"> statutory context.</w:t>
      </w:r>
      <w:r w:rsidR="00FD4A49" w:rsidRPr="0057173C">
        <w:rPr>
          <w:rFonts w:ascii="Arial" w:hAnsi="Arial" w:cs="Arial"/>
        </w:rPr>
        <w:t xml:space="preserve"> </w:t>
      </w:r>
      <w:r w:rsidR="007A3B84">
        <w:rPr>
          <w:rFonts w:ascii="Arial" w:hAnsi="Arial" w:cs="Arial"/>
        </w:rPr>
        <w:t xml:space="preserve"> </w:t>
      </w:r>
      <w:r w:rsidR="00FD4A49" w:rsidRPr="0057173C">
        <w:rPr>
          <w:rFonts w:ascii="Arial" w:hAnsi="Arial" w:cs="Arial"/>
        </w:rPr>
        <w:t xml:space="preserve">We are mindful that </w:t>
      </w:r>
      <w:r w:rsidR="003D2562" w:rsidRPr="0057173C">
        <w:rPr>
          <w:rFonts w:ascii="Arial" w:hAnsi="Arial" w:cs="Arial"/>
        </w:rPr>
        <w:t>SPC</w:t>
      </w:r>
      <w:r w:rsidR="00FD4A49" w:rsidRPr="0057173C">
        <w:rPr>
          <w:rFonts w:ascii="Arial" w:hAnsi="Arial" w:cs="Arial"/>
        </w:rPr>
        <w:t xml:space="preserve"> </w:t>
      </w:r>
      <w:r w:rsidR="006C7722" w:rsidRPr="0057173C">
        <w:rPr>
          <w:rFonts w:ascii="Arial" w:hAnsi="Arial" w:cs="Arial"/>
        </w:rPr>
        <w:t xml:space="preserve">has </w:t>
      </w:r>
      <w:proofErr w:type="gramStart"/>
      <w:r w:rsidR="006C7722" w:rsidRPr="0057173C">
        <w:rPr>
          <w:rFonts w:ascii="Arial" w:hAnsi="Arial" w:cs="Arial"/>
        </w:rPr>
        <w:t>a number of</w:t>
      </w:r>
      <w:proofErr w:type="gramEnd"/>
      <w:r w:rsidR="006C7722" w:rsidRPr="0057173C">
        <w:rPr>
          <w:rFonts w:ascii="Arial" w:hAnsi="Arial" w:cs="Arial"/>
        </w:rPr>
        <w:t xml:space="preserve"> </w:t>
      </w:r>
      <w:r w:rsidR="00BF585B" w:rsidRPr="0057173C">
        <w:rPr>
          <w:rFonts w:ascii="Arial" w:hAnsi="Arial" w:cs="Arial"/>
        </w:rPr>
        <w:t>features</w:t>
      </w:r>
      <w:r w:rsidR="006C7722" w:rsidRPr="0057173C">
        <w:rPr>
          <w:rFonts w:ascii="Arial" w:hAnsi="Arial" w:cs="Arial"/>
        </w:rPr>
        <w:t xml:space="preserve"> which </w:t>
      </w:r>
      <w:r w:rsidR="005C5472" w:rsidRPr="0057173C">
        <w:rPr>
          <w:rFonts w:ascii="Arial" w:hAnsi="Arial" w:cs="Arial"/>
        </w:rPr>
        <w:t>differentiate</w:t>
      </w:r>
      <w:r w:rsidR="006C7722" w:rsidRPr="0057173C">
        <w:rPr>
          <w:rFonts w:ascii="Arial" w:hAnsi="Arial" w:cs="Arial"/>
        </w:rPr>
        <w:t xml:space="preserve"> it from working-age means-tested benefits</w:t>
      </w:r>
      <w:r w:rsidR="004377DB" w:rsidRPr="0057173C">
        <w:rPr>
          <w:rFonts w:ascii="Arial" w:hAnsi="Arial" w:cs="Arial"/>
        </w:rPr>
        <w:t xml:space="preserve">. </w:t>
      </w:r>
      <w:r w:rsidR="007A3B84">
        <w:rPr>
          <w:rFonts w:ascii="Arial" w:hAnsi="Arial" w:cs="Arial"/>
        </w:rPr>
        <w:t xml:space="preserve"> </w:t>
      </w:r>
      <w:r w:rsidR="004377DB" w:rsidRPr="0057173C">
        <w:rPr>
          <w:rFonts w:ascii="Arial" w:hAnsi="Arial" w:cs="Arial"/>
        </w:rPr>
        <w:t xml:space="preserve">As submitted by </w:t>
      </w:r>
      <w:proofErr w:type="spellStart"/>
      <w:r w:rsidR="004377DB" w:rsidRPr="0057173C">
        <w:rPr>
          <w:rFonts w:ascii="Arial" w:hAnsi="Arial" w:cs="Arial"/>
        </w:rPr>
        <w:t>Mr</w:t>
      </w:r>
      <w:proofErr w:type="spellEnd"/>
      <w:r w:rsidR="004377DB" w:rsidRPr="0057173C">
        <w:rPr>
          <w:rFonts w:ascii="Arial" w:hAnsi="Arial" w:cs="Arial"/>
        </w:rPr>
        <w:t xml:space="preserve"> McCloskey</w:t>
      </w:r>
      <w:r w:rsidR="00250BA5" w:rsidRPr="0057173C">
        <w:rPr>
          <w:rFonts w:ascii="Arial" w:hAnsi="Arial" w:cs="Arial"/>
        </w:rPr>
        <w:t xml:space="preserve"> for the Respondent</w:t>
      </w:r>
      <w:r w:rsidR="00241D69" w:rsidRPr="0057173C">
        <w:rPr>
          <w:rFonts w:ascii="Arial" w:hAnsi="Arial" w:cs="Arial"/>
        </w:rPr>
        <w:t>:</w:t>
      </w:r>
    </w:p>
    <w:p w14:paraId="0CD89E21" w14:textId="77777777" w:rsidR="002C48D7" w:rsidRPr="0057173C" w:rsidRDefault="002C48D7" w:rsidP="00581A65">
      <w:pPr>
        <w:tabs>
          <w:tab w:val="left" w:pos="510"/>
          <w:tab w:val="left" w:pos="1077"/>
          <w:tab w:val="left" w:pos="1797"/>
        </w:tabs>
        <w:jc w:val="both"/>
        <w:rPr>
          <w:rFonts w:ascii="Arial" w:hAnsi="Arial" w:cs="Arial"/>
        </w:rPr>
      </w:pPr>
    </w:p>
    <w:p w14:paraId="6D371487" w14:textId="6CB6FEE2" w:rsidR="00241D69" w:rsidRPr="0057173C" w:rsidRDefault="002C48D7" w:rsidP="007E56E2">
      <w:pPr>
        <w:tabs>
          <w:tab w:val="left" w:pos="510"/>
          <w:tab w:val="left" w:pos="1077"/>
          <w:tab w:val="left" w:pos="1797"/>
        </w:tabs>
        <w:ind w:left="1077" w:right="1077"/>
        <w:jc w:val="both"/>
        <w:rPr>
          <w:rFonts w:ascii="Arial" w:hAnsi="Arial" w:cs="Arial"/>
        </w:rPr>
      </w:pPr>
      <w:r w:rsidRPr="0057173C">
        <w:rPr>
          <w:rFonts w:ascii="Arial" w:hAnsi="Arial" w:cs="Arial"/>
        </w:rPr>
        <w:t>“</w:t>
      </w:r>
      <w:r w:rsidR="00241D69" w:rsidRPr="0057173C">
        <w:rPr>
          <w:rFonts w:ascii="Arial" w:hAnsi="Arial" w:cs="Arial"/>
        </w:rPr>
        <w:t xml:space="preserve">State Pension Credit reflects a consistently more generous means tested benefit regime for claimants who </w:t>
      </w:r>
      <w:r w:rsidR="00241D69" w:rsidRPr="0057173C">
        <w:rPr>
          <w:rFonts w:ascii="Arial" w:hAnsi="Arial" w:cs="Arial"/>
        </w:rPr>
        <w:lastRenderedPageBreak/>
        <w:t xml:space="preserve">have reached state retirement age. </w:t>
      </w:r>
      <w:r w:rsidR="007E56E2">
        <w:rPr>
          <w:rFonts w:ascii="Arial" w:hAnsi="Arial" w:cs="Arial"/>
        </w:rPr>
        <w:t xml:space="preserve"> </w:t>
      </w:r>
      <w:r w:rsidR="00241D69" w:rsidRPr="0057173C">
        <w:rPr>
          <w:rFonts w:ascii="Arial" w:hAnsi="Arial" w:cs="Arial"/>
        </w:rPr>
        <w:t xml:space="preserve">Compared to </w:t>
      </w:r>
      <w:proofErr w:type="gramStart"/>
      <w:r w:rsidR="00241D69" w:rsidRPr="0057173C">
        <w:rPr>
          <w:rFonts w:ascii="Arial" w:hAnsi="Arial" w:cs="Arial"/>
        </w:rPr>
        <w:t>the working</w:t>
      </w:r>
      <w:proofErr w:type="gramEnd"/>
      <w:r w:rsidR="00241D69" w:rsidRPr="0057173C">
        <w:rPr>
          <w:rFonts w:ascii="Arial" w:hAnsi="Arial" w:cs="Arial"/>
        </w:rPr>
        <w:t xml:space="preserve"> age means tested benefits, there are many examples of this.</w:t>
      </w:r>
      <w:r w:rsidR="007E56E2">
        <w:rPr>
          <w:rFonts w:ascii="Arial" w:hAnsi="Arial" w:cs="Arial"/>
        </w:rPr>
        <w:t xml:space="preserve"> </w:t>
      </w:r>
      <w:r w:rsidR="00241D69" w:rsidRPr="0057173C">
        <w:rPr>
          <w:rFonts w:ascii="Arial" w:hAnsi="Arial" w:cs="Arial"/>
        </w:rPr>
        <w:t xml:space="preserve"> The standard minimum guarantee is greatly </w:t>
      </w:r>
      <w:proofErr w:type="gramStart"/>
      <w:r w:rsidR="00241D69" w:rsidRPr="0057173C">
        <w:rPr>
          <w:rFonts w:ascii="Arial" w:hAnsi="Arial" w:cs="Arial"/>
        </w:rPr>
        <w:t>in excess of</w:t>
      </w:r>
      <w:proofErr w:type="gramEnd"/>
      <w:r w:rsidR="00241D69" w:rsidRPr="0057173C">
        <w:rPr>
          <w:rFonts w:ascii="Arial" w:hAnsi="Arial" w:cs="Arial"/>
        </w:rPr>
        <w:t xml:space="preserve"> personal allowances. </w:t>
      </w:r>
      <w:r w:rsidR="007E56E2">
        <w:rPr>
          <w:rFonts w:ascii="Arial" w:hAnsi="Arial" w:cs="Arial"/>
        </w:rPr>
        <w:t xml:space="preserve"> </w:t>
      </w:r>
      <w:r w:rsidR="00241D69" w:rsidRPr="0057173C">
        <w:rPr>
          <w:rFonts w:ascii="Arial" w:hAnsi="Arial" w:cs="Arial"/>
        </w:rPr>
        <w:t>Pension Credit is not subject to the benefit cap.</w:t>
      </w:r>
      <w:r w:rsidR="007E56E2">
        <w:rPr>
          <w:rFonts w:ascii="Arial" w:hAnsi="Arial" w:cs="Arial"/>
        </w:rPr>
        <w:t xml:space="preserve"> </w:t>
      </w:r>
      <w:r w:rsidR="00241D69" w:rsidRPr="0057173C">
        <w:rPr>
          <w:rFonts w:ascii="Arial" w:hAnsi="Arial" w:cs="Arial"/>
        </w:rPr>
        <w:t xml:space="preserve"> There is no upper capital limit of £16,000 and there is an increased lower threshold for calculating a tariff income: £10,000 compared to £6,000. </w:t>
      </w:r>
      <w:r w:rsidR="007E56E2">
        <w:rPr>
          <w:rFonts w:ascii="Arial" w:hAnsi="Arial" w:cs="Arial"/>
        </w:rPr>
        <w:t xml:space="preserve"> </w:t>
      </w:r>
      <w:r w:rsidR="00241D69" w:rsidRPr="0057173C">
        <w:rPr>
          <w:rFonts w:ascii="Arial" w:hAnsi="Arial" w:cs="Arial"/>
        </w:rPr>
        <w:t>There are many other advantages including a more generous tariff income rate.”</w:t>
      </w:r>
    </w:p>
    <w:p w14:paraId="751B7640" w14:textId="77777777" w:rsidR="00BD46D0" w:rsidRPr="0057173C" w:rsidRDefault="00BD46D0" w:rsidP="00581A65">
      <w:pPr>
        <w:tabs>
          <w:tab w:val="left" w:pos="510"/>
          <w:tab w:val="left" w:pos="1077"/>
          <w:tab w:val="left" w:pos="1797"/>
        </w:tabs>
        <w:jc w:val="both"/>
        <w:rPr>
          <w:rFonts w:ascii="Arial" w:hAnsi="Arial" w:cs="Arial"/>
        </w:rPr>
      </w:pPr>
    </w:p>
    <w:p w14:paraId="39947527" w14:textId="3D312AB1" w:rsidR="002F1A82" w:rsidRPr="0057173C" w:rsidRDefault="008F6BF8" w:rsidP="00A5736A">
      <w:pPr>
        <w:tabs>
          <w:tab w:val="left" w:pos="510"/>
          <w:tab w:val="left" w:pos="567"/>
          <w:tab w:val="left" w:pos="1077"/>
          <w:tab w:val="left" w:pos="1797"/>
        </w:tabs>
        <w:ind w:left="510" w:hanging="510"/>
        <w:jc w:val="both"/>
        <w:rPr>
          <w:rFonts w:ascii="Arial" w:hAnsi="Arial" w:cs="Arial"/>
        </w:rPr>
      </w:pPr>
      <w:r w:rsidRPr="0057173C">
        <w:rPr>
          <w:rFonts w:ascii="Arial" w:hAnsi="Arial" w:cs="Arial"/>
        </w:rPr>
        <w:t>11.</w:t>
      </w:r>
      <w:r w:rsidR="003D2562" w:rsidRPr="0057173C">
        <w:rPr>
          <w:rFonts w:ascii="Arial" w:hAnsi="Arial" w:cs="Arial"/>
        </w:rPr>
        <w:tab/>
      </w:r>
      <w:r w:rsidR="002F1A82" w:rsidRPr="0057173C">
        <w:rPr>
          <w:rFonts w:ascii="Arial" w:hAnsi="Arial" w:cs="Arial"/>
        </w:rPr>
        <w:t xml:space="preserve">We note that </w:t>
      </w:r>
      <w:r w:rsidR="00E61948" w:rsidRPr="0057173C">
        <w:rPr>
          <w:rFonts w:ascii="Arial" w:hAnsi="Arial" w:cs="Arial"/>
        </w:rPr>
        <w:t>working-age means-tested benefits address the receipt of personal injury compensation in terms</w:t>
      </w:r>
      <w:r w:rsidR="00B40A9E" w:rsidRPr="0057173C">
        <w:rPr>
          <w:rFonts w:ascii="Arial" w:hAnsi="Arial" w:cs="Arial"/>
        </w:rPr>
        <w:t xml:space="preserve"> that are significantly different from thos</w:t>
      </w:r>
      <w:r w:rsidR="007A4550" w:rsidRPr="0057173C">
        <w:rPr>
          <w:rFonts w:ascii="Arial" w:hAnsi="Arial" w:cs="Arial"/>
        </w:rPr>
        <w:t xml:space="preserve">e in </w:t>
      </w:r>
      <w:proofErr w:type="gramStart"/>
      <w:r w:rsidR="007A4550" w:rsidRPr="0057173C">
        <w:rPr>
          <w:rFonts w:ascii="Arial" w:hAnsi="Arial" w:cs="Arial"/>
        </w:rPr>
        <w:t xml:space="preserve">the </w:t>
      </w:r>
      <w:r w:rsidR="003D2562" w:rsidRPr="0057173C">
        <w:rPr>
          <w:rFonts w:ascii="Arial" w:hAnsi="Arial" w:cs="Arial"/>
        </w:rPr>
        <w:t>SPC</w:t>
      </w:r>
      <w:proofErr w:type="gramEnd"/>
      <w:r w:rsidR="007A4550" w:rsidRPr="0057173C">
        <w:rPr>
          <w:rFonts w:ascii="Arial" w:hAnsi="Arial" w:cs="Arial"/>
        </w:rPr>
        <w:t xml:space="preserve"> legislation</w:t>
      </w:r>
      <w:r w:rsidR="00E61948" w:rsidRPr="0057173C">
        <w:rPr>
          <w:rFonts w:ascii="Arial" w:hAnsi="Arial" w:cs="Arial"/>
        </w:rPr>
        <w:t xml:space="preserve">.  </w:t>
      </w:r>
      <w:proofErr w:type="gramStart"/>
      <w:r w:rsidR="007C7AD9" w:rsidRPr="0057173C">
        <w:rPr>
          <w:rFonts w:ascii="Arial" w:hAnsi="Arial" w:cs="Arial"/>
        </w:rPr>
        <w:t>Thus</w:t>
      </w:r>
      <w:proofErr w:type="gramEnd"/>
      <w:r w:rsidR="00250BA5" w:rsidRPr="0057173C">
        <w:rPr>
          <w:rFonts w:ascii="Arial" w:hAnsi="Arial" w:cs="Arial"/>
        </w:rPr>
        <w:t xml:space="preserve"> </w:t>
      </w:r>
      <w:r w:rsidR="00E61948" w:rsidRPr="0057173C">
        <w:rPr>
          <w:rFonts w:ascii="Arial" w:hAnsi="Arial" w:cs="Arial"/>
        </w:rPr>
        <w:t xml:space="preserve">income support, for </w:t>
      </w:r>
      <w:r w:rsidR="00BF585B" w:rsidRPr="0057173C">
        <w:rPr>
          <w:rFonts w:ascii="Arial" w:hAnsi="Arial" w:cs="Arial"/>
        </w:rPr>
        <w:t>instance</w:t>
      </w:r>
      <w:r w:rsidR="00E61948" w:rsidRPr="0057173C">
        <w:rPr>
          <w:rFonts w:ascii="Arial" w:hAnsi="Arial" w:cs="Arial"/>
        </w:rPr>
        <w:t xml:space="preserve">, </w:t>
      </w:r>
      <w:r w:rsidR="000D7E45" w:rsidRPr="0057173C">
        <w:rPr>
          <w:rFonts w:ascii="Arial" w:hAnsi="Arial" w:cs="Arial"/>
        </w:rPr>
        <w:t xml:space="preserve">limited the disregard to 52 weeks from receipt </w:t>
      </w:r>
      <w:r w:rsidR="007A4550" w:rsidRPr="0057173C">
        <w:rPr>
          <w:rFonts w:ascii="Arial" w:hAnsi="Arial" w:cs="Arial"/>
        </w:rPr>
        <w:t>a</w:t>
      </w:r>
      <w:r w:rsidR="000D7E45" w:rsidRPr="0057173C">
        <w:rPr>
          <w:rFonts w:ascii="Arial" w:hAnsi="Arial" w:cs="Arial"/>
        </w:rPr>
        <w:t xml:space="preserve">nd imposed </w:t>
      </w:r>
      <w:r w:rsidR="000D616C" w:rsidRPr="0057173C">
        <w:rPr>
          <w:rFonts w:ascii="Arial" w:hAnsi="Arial" w:cs="Arial"/>
        </w:rPr>
        <w:t>additional conditions: see</w:t>
      </w:r>
      <w:r w:rsidR="00245543" w:rsidRPr="0057173C">
        <w:rPr>
          <w:rFonts w:ascii="Arial" w:hAnsi="Arial" w:cs="Arial"/>
        </w:rPr>
        <w:t xml:space="preserve"> paragraph 12A to Schedule 10 of the Income Support (General) Regulations (Northern Ireland) 1987</w:t>
      </w:r>
      <w:r w:rsidR="008556FB" w:rsidRPr="0057173C">
        <w:rPr>
          <w:rFonts w:ascii="Arial" w:hAnsi="Arial" w:cs="Arial"/>
        </w:rPr>
        <w:t xml:space="preserve">. </w:t>
      </w:r>
      <w:r w:rsidR="005C5B6C" w:rsidRPr="0057173C">
        <w:rPr>
          <w:rFonts w:ascii="Arial" w:hAnsi="Arial" w:cs="Arial"/>
        </w:rPr>
        <w:t xml:space="preserve"> </w:t>
      </w:r>
      <w:r w:rsidR="00EC35C6" w:rsidRPr="0057173C">
        <w:rPr>
          <w:rFonts w:ascii="Arial" w:hAnsi="Arial" w:cs="Arial"/>
        </w:rPr>
        <w:t>Reg</w:t>
      </w:r>
      <w:r w:rsidR="003D2562" w:rsidRPr="0057173C">
        <w:rPr>
          <w:rFonts w:ascii="Arial" w:hAnsi="Arial" w:cs="Arial"/>
        </w:rPr>
        <w:t xml:space="preserve">ulation </w:t>
      </w:r>
      <w:r w:rsidR="00EC35C6" w:rsidRPr="0057173C">
        <w:rPr>
          <w:rFonts w:ascii="Arial" w:hAnsi="Arial" w:cs="Arial"/>
        </w:rPr>
        <w:t xml:space="preserve">75 </w:t>
      </w:r>
      <w:r w:rsidR="00BF585B" w:rsidRPr="0057173C">
        <w:rPr>
          <w:rFonts w:ascii="Arial" w:hAnsi="Arial" w:cs="Arial"/>
        </w:rPr>
        <w:t>of the</w:t>
      </w:r>
      <w:r w:rsidR="00106DC0" w:rsidRPr="0057173C">
        <w:rPr>
          <w:rFonts w:ascii="Arial" w:hAnsi="Arial" w:cs="Arial"/>
        </w:rPr>
        <w:t xml:space="preserve"> Universal Credit (Northern Ireland) Regulations 2016</w:t>
      </w:r>
      <w:r w:rsidR="00EC35C6" w:rsidRPr="0057173C">
        <w:rPr>
          <w:rFonts w:ascii="Arial" w:hAnsi="Arial" w:cs="Arial"/>
        </w:rPr>
        <w:t xml:space="preserve"> (among </w:t>
      </w:r>
      <w:r w:rsidR="003708C2" w:rsidRPr="0057173C">
        <w:rPr>
          <w:rFonts w:ascii="Arial" w:hAnsi="Arial" w:cs="Arial"/>
        </w:rPr>
        <w:t xml:space="preserve">making </w:t>
      </w:r>
      <w:r w:rsidR="00EC35C6" w:rsidRPr="0057173C">
        <w:rPr>
          <w:rFonts w:ascii="Arial" w:hAnsi="Arial" w:cs="Arial"/>
        </w:rPr>
        <w:t>other provision) differentiates</w:t>
      </w:r>
      <w:r w:rsidR="004C272A" w:rsidRPr="0057173C">
        <w:rPr>
          <w:rFonts w:ascii="Arial" w:hAnsi="Arial" w:cs="Arial"/>
        </w:rPr>
        <w:t xml:space="preserve"> </w:t>
      </w:r>
      <w:r w:rsidR="00EC35C6" w:rsidRPr="0057173C">
        <w:rPr>
          <w:rFonts w:ascii="Arial" w:hAnsi="Arial" w:cs="Arial"/>
        </w:rPr>
        <w:t>between capital which is held on trust and that which is not</w:t>
      </w:r>
      <w:r w:rsidR="004C272A" w:rsidRPr="0057173C">
        <w:rPr>
          <w:rFonts w:ascii="Arial" w:hAnsi="Arial" w:cs="Arial"/>
        </w:rPr>
        <w:t xml:space="preserve"> and </w:t>
      </w:r>
      <w:r w:rsidR="003E0776" w:rsidRPr="0057173C">
        <w:rPr>
          <w:rFonts w:ascii="Arial" w:hAnsi="Arial" w:cs="Arial"/>
        </w:rPr>
        <w:t xml:space="preserve">expressly </w:t>
      </w:r>
      <w:r w:rsidR="004C272A" w:rsidRPr="0057173C">
        <w:rPr>
          <w:rFonts w:ascii="Arial" w:hAnsi="Arial" w:cs="Arial"/>
        </w:rPr>
        <w:t xml:space="preserve">creates </w:t>
      </w:r>
      <w:r w:rsidR="003E0776" w:rsidRPr="0057173C">
        <w:rPr>
          <w:rFonts w:ascii="Arial" w:hAnsi="Arial" w:cs="Arial"/>
        </w:rPr>
        <w:t xml:space="preserve">only </w:t>
      </w:r>
      <w:r w:rsidR="004C272A" w:rsidRPr="0057173C">
        <w:rPr>
          <w:rFonts w:ascii="Arial" w:hAnsi="Arial" w:cs="Arial"/>
        </w:rPr>
        <w:t xml:space="preserve">a </w:t>
      </w:r>
      <w:proofErr w:type="gramStart"/>
      <w:r w:rsidR="004C272A" w:rsidRPr="0057173C">
        <w:rPr>
          <w:rFonts w:ascii="Arial" w:hAnsi="Arial" w:cs="Arial"/>
        </w:rPr>
        <w:t>12 month</w:t>
      </w:r>
      <w:proofErr w:type="gramEnd"/>
      <w:r w:rsidR="004C272A" w:rsidRPr="0057173C">
        <w:rPr>
          <w:rFonts w:ascii="Arial" w:hAnsi="Arial" w:cs="Arial"/>
        </w:rPr>
        <w:t xml:space="preserve"> disregard in </w:t>
      </w:r>
      <w:r w:rsidR="00BF585B" w:rsidRPr="0057173C">
        <w:rPr>
          <w:rFonts w:ascii="Arial" w:hAnsi="Arial" w:cs="Arial"/>
        </w:rPr>
        <w:t>respect</w:t>
      </w:r>
      <w:r w:rsidR="004C272A" w:rsidRPr="0057173C">
        <w:rPr>
          <w:rFonts w:ascii="Arial" w:hAnsi="Arial" w:cs="Arial"/>
        </w:rPr>
        <w:t xml:space="preserve"> of the latter.</w:t>
      </w:r>
      <w:r w:rsidR="003A0045" w:rsidRPr="0057173C">
        <w:rPr>
          <w:rFonts w:ascii="Arial" w:hAnsi="Arial" w:cs="Arial"/>
        </w:rPr>
        <w:t xml:space="preserve"> </w:t>
      </w:r>
      <w:r w:rsidR="00A5736A">
        <w:rPr>
          <w:rFonts w:ascii="Arial" w:hAnsi="Arial" w:cs="Arial"/>
        </w:rPr>
        <w:t xml:space="preserve"> </w:t>
      </w:r>
      <w:r w:rsidR="003A0045" w:rsidRPr="0057173C">
        <w:rPr>
          <w:rFonts w:ascii="Arial" w:hAnsi="Arial" w:cs="Arial"/>
        </w:rPr>
        <w:t xml:space="preserve">It </w:t>
      </w:r>
      <w:r w:rsidR="00BF585B" w:rsidRPr="0057173C">
        <w:rPr>
          <w:rFonts w:ascii="Arial" w:hAnsi="Arial" w:cs="Arial"/>
        </w:rPr>
        <w:t>appears</w:t>
      </w:r>
      <w:r w:rsidR="003A0045" w:rsidRPr="0057173C">
        <w:rPr>
          <w:rFonts w:ascii="Arial" w:hAnsi="Arial" w:cs="Arial"/>
        </w:rPr>
        <w:t xml:space="preserve"> therefore that </w:t>
      </w:r>
      <w:r w:rsidR="00EA55CC" w:rsidRPr="0057173C">
        <w:rPr>
          <w:rFonts w:ascii="Arial" w:hAnsi="Arial" w:cs="Arial"/>
        </w:rPr>
        <w:t>the wording of para</w:t>
      </w:r>
      <w:r w:rsidR="003D2562" w:rsidRPr="0057173C">
        <w:rPr>
          <w:rFonts w:ascii="Arial" w:hAnsi="Arial" w:cs="Arial"/>
        </w:rPr>
        <w:t>graph</w:t>
      </w:r>
      <w:r w:rsidR="00EA55CC" w:rsidRPr="0057173C">
        <w:rPr>
          <w:rFonts w:ascii="Arial" w:hAnsi="Arial" w:cs="Arial"/>
        </w:rPr>
        <w:t xml:space="preserve"> 16(1) of </w:t>
      </w:r>
      <w:r w:rsidR="00BF585B" w:rsidRPr="0057173C">
        <w:rPr>
          <w:rFonts w:ascii="Arial" w:hAnsi="Arial" w:cs="Arial"/>
        </w:rPr>
        <w:t>Schedule</w:t>
      </w:r>
      <w:r w:rsidR="00EA55CC" w:rsidRPr="0057173C">
        <w:rPr>
          <w:rFonts w:ascii="Arial" w:hAnsi="Arial" w:cs="Arial"/>
        </w:rPr>
        <w:t xml:space="preserve"> 5 to the 2003 </w:t>
      </w:r>
      <w:r w:rsidR="003708C2" w:rsidRPr="0057173C">
        <w:rPr>
          <w:rFonts w:ascii="Arial" w:hAnsi="Arial" w:cs="Arial"/>
        </w:rPr>
        <w:t>Regulations</w:t>
      </w:r>
      <w:r w:rsidR="00BF585B" w:rsidRPr="0057173C">
        <w:rPr>
          <w:rFonts w:ascii="Arial" w:hAnsi="Arial" w:cs="Arial"/>
        </w:rPr>
        <w:t xml:space="preserve"> </w:t>
      </w:r>
      <w:r w:rsidR="00484559" w:rsidRPr="0057173C">
        <w:rPr>
          <w:rFonts w:ascii="Arial" w:hAnsi="Arial" w:cs="Arial"/>
        </w:rPr>
        <w:t>represents</w:t>
      </w:r>
      <w:r w:rsidR="00EA55CC" w:rsidRPr="0057173C">
        <w:rPr>
          <w:rFonts w:ascii="Arial" w:hAnsi="Arial" w:cs="Arial"/>
        </w:rPr>
        <w:t xml:space="preserve"> a deliberate choice by the legislator.</w:t>
      </w:r>
      <w:r w:rsidR="00122551" w:rsidRPr="0057173C">
        <w:rPr>
          <w:rFonts w:ascii="Arial" w:hAnsi="Arial" w:cs="Arial"/>
        </w:rPr>
        <w:t xml:space="preserve"> </w:t>
      </w:r>
      <w:r w:rsidR="008A7FA1" w:rsidRPr="0057173C">
        <w:rPr>
          <w:rFonts w:ascii="Arial" w:hAnsi="Arial" w:cs="Arial"/>
        </w:rPr>
        <w:t xml:space="preserve"> </w:t>
      </w:r>
      <w:r w:rsidR="00484559" w:rsidRPr="0057173C">
        <w:rPr>
          <w:rFonts w:ascii="Arial" w:hAnsi="Arial" w:cs="Arial"/>
        </w:rPr>
        <w:t>Absent</w:t>
      </w:r>
      <w:r w:rsidR="008A7FA1" w:rsidRPr="0057173C">
        <w:rPr>
          <w:rFonts w:ascii="Arial" w:hAnsi="Arial" w:cs="Arial"/>
        </w:rPr>
        <w:t xml:space="preserve"> the express reason for </w:t>
      </w:r>
      <w:r w:rsidR="00250BA5" w:rsidRPr="0057173C">
        <w:rPr>
          <w:rFonts w:ascii="Arial" w:hAnsi="Arial" w:cs="Arial"/>
        </w:rPr>
        <w:t>treating differently</w:t>
      </w:r>
      <w:r w:rsidR="001F464D" w:rsidRPr="0057173C">
        <w:rPr>
          <w:rFonts w:ascii="Arial" w:hAnsi="Arial" w:cs="Arial"/>
        </w:rPr>
        <w:t>,</w:t>
      </w:r>
      <w:r w:rsidR="00250BA5" w:rsidRPr="0057173C">
        <w:rPr>
          <w:rFonts w:ascii="Arial" w:hAnsi="Arial" w:cs="Arial"/>
        </w:rPr>
        <w:t xml:space="preserve"> </w:t>
      </w:r>
      <w:r w:rsidR="00BC0617" w:rsidRPr="0057173C">
        <w:rPr>
          <w:rFonts w:ascii="Arial" w:hAnsi="Arial" w:cs="Arial"/>
        </w:rPr>
        <w:t>payments which are held on trust and payments which are not which can be found in, for insta</w:t>
      </w:r>
      <w:r w:rsidR="00484559" w:rsidRPr="0057173C">
        <w:rPr>
          <w:rFonts w:ascii="Arial" w:hAnsi="Arial" w:cs="Arial"/>
        </w:rPr>
        <w:t>nc</w:t>
      </w:r>
      <w:r w:rsidR="00BC0617" w:rsidRPr="0057173C">
        <w:rPr>
          <w:rFonts w:ascii="Arial" w:hAnsi="Arial" w:cs="Arial"/>
        </w:rPr>
        <w:t xml:space="preserve">e, the universal </w:t>
      </w:r>
      <w:r w:rsidR="00484559" w:rsidRPr="0057173C">
        <w:rPr>
          <w:rFonts w:ascii="Arial" w:hAnsi="Arial" w:cs="Arial"/>
        </w:rPr>
        <w:t>credit</w:t>
      </w:r>
      <w:r w:rsidR="00BC0617" w:rsidRPr="0057173C">
        <w:rPr>
          <w:rFonts w:ascii="Arial" w:hAnsi="Arial" w:cs="Arial"/>
        </w:rPr>
        <w:t xml:space="preserve"> regime</w:t>
      </w:r>
      <w:r w:rsidR="00483B77" w:rsidRPr="0057173C">
        <w:rPr>
          <w:rFonts w:ascii="Arial" w:hAnsi="Arial" w:cs="Arial"/>
        </w:rPr>
        <w:t xml:space="preserve">, it would appear anomalous </w:t>
      </w:r>
      <w:r w:rsidR="007B554B" w:rsidRPr="0057173C">
        <w:rPr>
          <w:rFonts w:ascii="Arial" w:hAnsi="Arial" w:cs="Arial"/>
        </w:rPr>
        <w:t>that com</w:t>
      </w:r>
      <w:r w:rsidR="00484559" w:rsidRPr="0057173C">
        <w:rPr>
          <w:rFonts w:ascii="Arial" w:hAnsi="Arial" w:cs="Arial"/>
        </w:rPr>
        <w:t>pensation</w:t>
      </w:r>
      <w:r w:rsidR="007B554B" w:rsidRPr="0057173C">
        <w:rPr>
          <w:rFonts w:ascii="Arial" w:hAnsi="Arial" w:cs="Arial"/>
        </w:rPr>
        <w:t xml:space="preserve"> should be tr</w:t>
      </w:r>
      <w:r w:rsidR="007016DB" w:rsidRPr="0057173C">
        <w:rPr>
          <w:rFonts w:ascii="Arial" w:hAnsi="Arial" w:cs="Arial"/>
        </w:rPr>
        <w:t>e</w:t>
      </w:r>
      <w:r w:rsidR="007B554B" w:rsidRPr="0057173C">
        <w:rPr>
          <w:rFonts w:ascii="Arial" w:hAnsi="Arial" w:cs="Arial"/>
        </w:rPr>
        <w:t>ate</w:t>
      </w:r>
      <w:r w:rsidR="00484559" w:rsidRPr="0057173C">
        <w:rPr>
          <w:rFonts w:ascii="Arial" w:hAnsi="Arial" w:cs="Arial"/>
        </w:rPr>
        <w:t>d</w:t>
      </w:r>
      <w:r w:rsidR="007B554B" w:rsidRPr="0057173C">
        <w:rPr>
          <w:rFonts w:ascii="Arial" w:hAnsi="Arial" w:cs="Arial"/>
        </w:rPr>
        <w:t xml:space="preserve"> diff</w:t>
      </w:r>
      <w:r w:rsidR="00484559" w:rsidRPr="0057173C">
        <w:rPr>
          <w:rFonts w:ascii="Arial" w:hAnsi="Arial" w:cs="Arial"/>
        </w:rPr>
        <w:t>e</w:t>
      </w:r>
      <w:r w:rsidR="007B554B" w:rsidRPr="0057173C">
        <w:rPr>
          <w:rFonts w:ascii="Arial" w:hAnsi="Arial" w:cs="Arial"/>
        </w:rPr>
        <w:t>r</w:t>
      </w:r>
      <w:r w:rsidR="00484559" w:rsidRPr="0057173C">
        <w:rPr>
          <w:rFonts w:ascii="Arial" w:hAnsi="Arial" w:cs="Arial"/>
        </w:rPr>
        <w:t>e</w:t>
      </w:r>
      <w:r w:rsidR="007B554B" w:rsidRPr="0057173C">
        <w:rPr>
          <w:rFonts w:ascii="Arial" w:hAnsi="Arial" w:cs="Arial"/>
        </w:rPr>
        <w:t>n</w:t>
      </w:r>
      <w:r w:rsidR="007016DB" w:rsidRPr="0057173C">
        <w:rPr>
          <w:rFonts w:ascii="Arial" w:hAnsi="Arial" w:cs="Arial"/>
        </w:rPr>
        <w:t>t</w:t>
      </w:r>
      <w:r w:rsidR="007B554B" w:rsidRPr="0057173C">
        <w:rPr>
          <w:rFonts w:ascii="Arial" w:hAnsi="Arial" w:cs="Arial"/>
        </w:rPr>
        <w:t>ly depending on</w:t>
      </w:r>
      <w:r w:rsidR="007016DB" w:rsidRPr="0057173C">
        <w:rPr>
          <w:rFonts w:ascii="Arial" w:hAnsi="Arial" w:cs="Arial"/>
        </w:rPr>
        <w:t xml:space="preserve"> </w:t>
      </w:r>
      <w:r w:rsidR="007B554B" w:rsidRPr="0057173C">
        <w:rPr>
          <w:rFonts w:ascii="Arial" w:hAnsi="Arial" w:cs="Arial"/>
        </w:rPr>
        <w:t>wh</w:t>
      </w:r>
      <w:r w:rsidR="007016DB" w:rsidRPr="0057173C">
        <w:rPr>
          <w:rFonts w:ascii="Arial" w:hAnsi="Arial" w:cs="Arial"/>
        </w:rPr>
        <w:t>e</w:t>
      </w:r>
      <w:r w:rsidR="007B554B" w:rsidRPr="0057173C">
        <w:rPr>
          <w:rFonts w:ascii="Arial" w:hAnsi="Arial" w:cs="Arial"/>
        </w:rPr>
        <w:t>ther it</w:t>
      </w:r>
      <w:r w:rsidR="007016DB" w:rsidRPr="0057173C">
        <w:rPr>
          <w:rFonts w:ascii="Arial" w:hAnsi="Arial" w:cs="Arial"/>
        </w:rPr>
        <w:t xml:space="preserve"> </w:t>
      </w:r>
      <w:r w:rsidR="007B554B" w:rsidRPr="0057173C">
        <w:rPr>
          <w:rFonts w:ascii="Arial" w:hAnsi="Arial" w:cs="Arial"/>
        </w:rPr>
        <w:t>fell within sub-para</w:t>
      </w:r>
      <w:r w:rsidR="003D2562" w:rsidRPr="0057173C">
        <w:rPr>
          <w:rFonts w:ascii="Arial" w:hAnsi="Arial" w:cs="Arial"/>
        </w:rPr>
        <w:t>graph</w:t>
      </w:r>
      <w:r w:rsidR="007B554B" w:rsidRPr="0057173C">
        <w:rPr>
          <w:rFonts w:ascii="Arial" w:hAnsi="Arial" w:cs="Arial"/>
        </w:rPr>
        <w:t xml:space="preserve"> (1</w:t>
      </w:r>
      <w:r w:rsidR="00BF585B" w:rsidRPr="0057173C">
        <w:rPr>
          <w:rFonts w:ascii="Arial" w:hAnsi="Arial" w:cs="Arial"/>
        </w:rPr>
        <w:t>)</w:t>
      </w:r>
      <w:r w:rsidR="007B554B" w:rsidRPr="0057173C">
        <w:rPr>
          <w:rFonts w:ascii="Arial" w:hAnsi="Arial" w:cs="Arial"/>
        </w:rPr>
        <w:t xml:space="preserve"> or (2) </w:t>
      </w:r>
      <w:r w:rsidR="00BF585B" w:rsidRPr="0057173C">
        <w:rPr>
          <w:rFonts w:ascii="Arial" w:hAnsi="Arial" w:cs="Arial"/>
        </w:rPr>
        <w:t>of para</w:t>
      </w:r>
      <w:r w:rsidR="003D2562" w:rsidRPr="0057173C">
        <w:rPr>
          <w:rFonts w:ascii="Arial" w:hAnsi="Arial" w:cs="Arial"/>
        </w:rPr>
        <w:t>graph</w:t>
      </w:r>
      <w:r w:rsidR="00BF585B" w:rsidRPr="0057173C">
        <w:rPr>
          <w:rFonts w:ascii="Arial" w:hAnsi="Arial" w:cs="Arial"/>
        </w:rPr>
        <w:t xml:space="preserve"> 16.</w:t>
      </w:r>
    </w:p>
    <w:p w14:paraId="0F5F3568" w14:textId="77777777" w:rsidR="00662D42" w:rsidRPr="0057173C" w:rsidRDefault="00662D42" w:rsidP="00A5736A">
      <w:pPr>
        <w:tabs>
          <w:tab w:val="left" w:pos="510"/>
          <w:tab w:val="left" w:pos="1077"/>
          <w:tab w:val="left" w:pos="1797"/>
        </w:tabs>
        <w:ind w:left="510" w:hanging="510"/>
        <w:jc w:val="both"/>
        <w:rPr>
          <w:rFonts w:ascii="Arial" w:hAnsi="Arial" w:cs="Arial"/>
        </w:rPr>
      </w:pPr>
    </w:p>
    <w:p w14:paraId="5290A142" w14:textId="223FA48A" w:rsidR="00662D42" w:rsidRPr="0057173C" w:rsidRDefault="008F6BF8" w:rsidP="00A5736A">
      <w:pPr>
        <w:tabs>
          <w:tab w:val="left" w:pos="510"/>
          <w:tab w:val="left" w:pos="567"/>
          <w:tab w:val="left" w:pos="1077"/>
          <w:tab w:val="left" w:pos="1797"/>
        </w:tabs>
        <w:ind w:left="510" w:hanging="510"/>
        <w:jc w:val="both"/>
        <w:rPr>
          <w:rFonts w:ascii="Arial" w:hAnsi="Arial" w:cs="Arial"/>
        </w:rPr>
      </w:pPr>
      <w:r w:rsidRPr="0057173C">
        <w:rPr>
          <w:rFonts w:ascii="Arial" w:hAnsi="Arial" w:cs="Arial"/>
        </w:rPr>
        <w:t>12.</w:t>
      </w:r>
      <w:r w:rsidR="003D2562" w:rsidRPr="0057173C">
        <w:rPr>
          <w:rFonts w:ascii="Arial" w:hAnsi="Arial" w:cs="Arial"/>
        </w:rPr>
        <w:tab/>
      </w:r>
      <w:r w:rsidR="009B385B" w:rsidRPr="0057173C">
        <w:rPr>
          <w:rFonts w:ascii="Arial" w:hAnsi="Arial" w:cs="Arial"/>
        </w:rPr>
        <w:t xml:space="preserve">Further, </w:t>
      </w:r>
      <w:r w:rsidR="0005448F" w:rsidRPr="0057173C">
        <w:rPr>
          <w:rFonts w:ascii="Arial" w:hAnsi="Arial" w:cs="Arial"/>
        </w:rPr>
        <w:t xml:space="preserve">both the </w:t>
      </w:r>
      <w:r w:rsidR="003708C2" w:rsidRPr="0057173C">
        <w:rPr>
          <w:rFonts w:ascii="Arial" w:hAnsi="Arial" w:cs="Arial"/>
        </w:rPr>
        <w:t>provisions</w:t>
      </w:r>
      <w:r w:rsidR="0005448F" w:rsidRPr="0057173C">
        <w:rPr>
          <w:rFonts w:ascii="Arial" w:hAnsi="Arial" w:cs="Arial"/>
        </w:rPr>
        <w:t xml:space="preserve"> cited in relation to working-age </w:t>
      </w:r>
      <w:r w:rsidR="003708C2" w:rsidRPr="0057173C">
        <w:rPr>
          <w:rFonts w:ascii="Arial" w:hAnsi="Arial" w:cs="Arial"/>
        </w:rPr>
        <w:t>means</w:t>
      </w:r>
      <w:r w:rsidR="0005448F" w:rsidRPr="0057173C">
        <w:rPr>
          <w:rFonts w:ascii="Arial" w:hAnsi="Arial" w:cs="Arial"/>
        </w:rPr>
        <w:t xml:space="preserve">-tested benefits refer </w:t>
      </w:r>
      <w:r w:rsidR="005C5472" w:rsidRPr="0057173C">
        <w:rPr>
          <w:rFonts w:ascii="Arial" w:hAnsi="Arial" w:cs="Arial"/>
        </w:rPr>
        <w:t>respectively</w:t>
      </w:r>
      <w:r w:rsidR="00621FBA" w:rsidRPr="0057173C">
        <w:rPr>
          <w:rFonts w:ascii="Arial" w:hAnsi="Arial" w:cs="Arial"/>
        </w:rPr>
        <w:t xml:space="preserve"> to “any payment made…” </w:t>
      </w:r>
      <w:r w:rsidR="00490A99" w:rsidRPr="0057173C">
        <w:rPr>
          <w:rFonts w:ascii="Arial" w:hAnsi="Arial" w:cs="Arial"/>
        </w:rPr>
        <w:t xml:space="preserve">or </w:t>
      </w:r>
      <w:r w:rsidR="0005448F" w:rsidRPr="0057173C">
        <w:rPr>
          <w:rFonts w:ascii="Arial" w:hAnsi="Arial" w:cs="Arial"/>
        </w:rPr>
        <w:t>to “the sum</w:t>
      </w:r>
      <w:r w:rsidR="00490A99" w:rsidRPr="0057173C">
        <w:rPr>
          <w:rFonts w:ascii="Arial" w:hAnsi="Arial" w:cs="Arial"/>
        </w:rPr>
        <w:t>…awarded</w:t>
      </w:r>
      <w:r w:rsidR="0005448F" w:rsidRPr="0057173C">
        <w:rPr>
          <w:rFonts w:ascii="Arial" w:hAnsi="Arial" w:cs="Arial"/>
        </w:rPr>
        <w:t>”</w:t>
      </w:r>
      <w:r w:rsidR="00B645AC" w:rsidRPr="0057173C">
        <w:rPr>
          <w:rFonts w:ascii="Arial" w:hAnsi="Arial" w:cs="Arial"/>
        </w:rPr>
        <w:t xml:space="preserve"> as being that whose disregard </w:t>
      </w:r>
      <w:r w:rsidR="00490A99" w:rsidRPr="0057173C">
        <w:rPr>
          <w:rFonts w:ascii="Arial" w:hAnsi="Arial" w:cs="Arial"/>
        </w:rPr>
        <w:t>f</w:t>
      </w:r>
      <w:r w:rsidR="00B645AC" w:rsidRPr="0057173C">
        <w:rPr>
          <w:rFonts w:ascii="Arial" w:hAnsi="Arial" w:cs="Arial"/>
        </w:rPr>
        <w:t>alls to be considered.</w:t>
      </w:r>
      <w:r w:rsidR="00490A99" w:rsidRPr="0057173C">
        <w:rPr>
          <w:rFonts w:ascii="Arial" w:hAnsi="Arial" w:cs="Arial"/>
        </w:rPr>
        <w:t xml:space="preserve"> </w:t>
      </w:r>
      <w:r w:rsidR="00A5736A">
        <w:rPr>
          <w:rFonts w:ascii="Arial" w:hAnsi="Arial" w:cs="Arial"/>
        </w:rPr>
        <w:t xml:space="preserve"> </w:t>
      </w:r>
      <w:r w:rsidR="00490A99" w:rsidRPr="0057173C">
        <w:rPr>
          <w:rFonts w:ascii="Arial" w:hAnsi="Arial" w:cs="Arial"/>
        </w:rPr>
        <w:t>In contrast</w:t>
      </w:r>
      <w:r w:rsidR="001B0897" w:rsidRPr="0057173C">
        <w:rPr>
          <w:rFonts w:ascii="Arial" w:hAnsi="Arial" w:cs="Arial"/>
        </w:rPr>
        <w:t xml:space="preserve">, </w:t>
      </w:r>
      <w:r w:rsidR="004F723F" w:rsidRPr="0057173C">
        <w:rPr>
          <w:rFonts w:ascii="Arial" w:hAnsi="Arial" w:cs="Arial"/>
        </w:rPr>
        <w:t>para</w:t>
      </w:r>
      <w:r w:rsidR="003D2562" w:rsidRPr="0057173C">
        <w:rPr>
          <w:rFonts w:ascii="Arial" w:hAnsi="Arial" w:cs="Arial"/>
        </w:rPr>
        <w:t>graph</w:t>
      </w:r>
      <w:r w:rsidR="004F723F" w:rsidRPr="0057173C">
        <w:rPr>
          <w:rFonts w:ascii="Arial" w:hAnsi="Arial" w:cs="Arial"/>
        </w:rPr>
        <w:t xml:space="preserve"> 16(1) of the 2003 </w:t>
      </w:r>
      <w:r w:rsidR="003708C2" w:rsidRPr="0057173C">
        <w:rPr>
          <w:rFonts w:ascii="Arial" w:hAnsi="Arial" w:cs="Arial"/>
        </w:rPr>
        <w:t>Regulations</w:t>
      </w:r>
      <w:r w:rsidR="004F723F" w:rsidRPr="0057173C">
        <w:rPr>
          <w:rFonts w:ascii="Arial" w:hAnsi="Arial" w:cs="Arial"/>
        </w:rPr>
        <w:t xml:space="preserve"> refers to “an </w:t>
      </w:r>
      <w:r w:rsidR="004F723F" w:rsidRPr="0057173C">
        <w:rPr>
          <w:rFonts w:ascii="Arial" w:hAnsi="Arial" w:cs="Arial"/>
          <w:i/>
          <w:iCs/>
        </w:rPr>
        <w:t>amount e</w:t>
      </w:r>
      <w:r w:rsidR="00E652CF" w:rsidRPr="0057173C">
        <w:rPr>
          <w:rFonts w:ascii="Arial" w:hAnsi="Arial" w:cs="Arial"/>
          <w:i/>
          <w:iCs/>
        </w:rPr>
        <w:t>qual</w:t>
      </w:r>
      <w:r w:rsidR="00E652CF" w:rsidRPr="0057173C">
        <w:rPr>
          <w:rFonts w:ascii="Arial" w:hAnsi="Arial" w:cs="Arial"/>
        </w:rPr>
        <w:t xml:space="preserve"> to the amount of any payment</w:t>
      </w:r>
      <w:r w:rsidR="00C040FB" w:rsidRPr="0057173C">
        <w:rPr>
          <w:rFonts w:ascii="Arial" w:hAnsi="Arial" w:cs="Arial"/>
        </w:rPr>
        <w:t xml:space="preserve"> made</w:t>
      </w:r>
      <w:r w:rsidR="00E652CF" w:rsidRPr="0057173C">
        <w:rPr>
          <w:rFonts w:ascii="Arial" w:hAnsi="Arial" w:cs="Arial"/>
        </w:rPr>
        <w:t>…”</w:t>
      </w:r>
      <w:r w:rsidR="00122551" w:rsidRPr="0057173C">
        <w:rPr>
          <w:rFonts w:ascii="Arial" w:hAnsi="Arial" w:cs="Arial"/>
        </w:rPr>
        <w:t xml:space="preserve"> (emphasis added)</w:t>
      </w:r>
      <w:r w:rsidR="00E652CF" w:rsidRPr="0057173C">
        <w:rPr>
          <w:rFonts w:ascii="Arial" w:hAnsi="Arial" w:cs="Arial"/>
        </w:rPr>
        <w:t xml:space="preserve">, suggesting a </w:t>
      </w:r>
      <w:r w:rsidR="003708C2" w:rsidRPr="0057173C">
        <w:rPr>
          <w:rFonts w:ascii="Arial" w:hAnsi="Arial" w:cs="Arial"/>
        </w:rPr>
        <w:t>legislative</w:t>
      </w:r>
      <w:r w:rsidR="00E652CF" w:rsidRPr="0057173C">
        <w:rPr>
          <w:rFonts w:ascii="Arial" w:hAnsi="Arial" w:cs="Arial"/>
        </w:rPr>
        <w:t xml:space="preserve"> intention that what </w:t>
      </w:r>
      <w:r w:rsidR="003708C2" w:rsidRPr="0057173C">
        <w:rPr>
          <w:rFonts w:ascii="Arial" w:hAnsi="Arial" w:cs="Arial"/>
        </w:rPr>
        <w:t>subsequently</w:t>
      </w:r>
      <w:r w:rsidR="00C70F72" w:rsidRPr="0057173C">
        <w:rPr>
          <w:rFonts w:ascii="Arial" w:hAnsi="Arial" w:cs="Arial"/>
        </w:rPr>
        <w:t xml:space="preserve"> </w:t>
      </w:r>
      <w:r w:rsidR="00E652CF" w:rsidRPr="0057173C">
        <w:rPr>
          <w:rFonts w:ascii="Arial" w:hAnsi="Arial" w:cs="Arial"/>
        </w:rPr>
        <w:t xml:space="preserve">happens to the compensation </w:t>
      </w:r>
      <w:r w:rsidR="00C70F72" w:rsidRPr="0057173C">
        <w:rPr>
          <w:rFonts w:ascii="Arial" w:hAnsi="Arial" w:cs="Arial"/>
        </w:rPr>
        <w:t xml:space="preserve">paid or awarded </w:t>
      </w:r>
      <w:r w:rsidR="005504B7" w:rsidRPr="0057173C">
        <w:rPr>
          <w:rFonts w:ascii="Arial" w:hAnsi="Arial" w:cs="Arial"/>
        </w:rPr>
        <w:t>is not what the legislator is concerned with.</w:t>
      </w:r>
    </w:p>
    <w:p w14:paraId="11874FF3" w14:textId="77777777" w:rsidR="004C537B" w:rsidRPr="0057173C" w:rsidRDefault="004C537B" w:rsidP="00A5736A">
      <w:pPr>
        <w:tabs>
          <w:tab w:val="left" w:pos="510"/>
          <w:tab w:val="left" w:pos="1077"/>
          <w:tab w:val="left" w:pos="1797"/>
        </w:tabs>
        <w:ind w:left="510" w:hanging="510"/>
        <w:jc w:val="both"/>
        <w:rPr>
          <w:rFonts w:ascii="Arial" w:hAnsi="Arial" w:cs="Arial"/>
        </w:rPr>
      </w:pPr>
    </w:p>
    <w:p w14:paraId="0F12D122" w14:textId="754D8CDD" w:rsidR="004C537B" w:rsidRPr="0057173C" w:rsidRDefault="008F6BF8" w:rsidP="00A5736A">
      <w:pPr>
        <w:tabs>
          <w:tab w:val="left" w:pos="510"/>
          <w:tab w:val="left" w:pos="567"/>
          <w:tab w:val="left" w:pos="1077"/>
          <w:tab w:val="left" w:pos="1797"/>
        </w:tabs>
        <w:ind w:left="510" w:hanging="510"/>
        <w:jc w:val="both"/>
        <w:rPr>
          <w:rFonts w:ascii="Arial" w:hAnsi="Arial" w:cs="Arial"/>
        </w:rPr>
      </w:pPr>
      <w:r w:rsidRPr="0057173C">
        <w:rPr>
          <w:rFonts w:ascii="Arial" w:hAnsi="Arial" w:cs="Arial"/>
        </w:rPr>
        <w:t>13.</w:t>
      </w:r>
      <w:r w:rsidR="003D2562" w:rsidRPr="0057173C">
        <w:rPr>
          <w:rFonts w:ascii="Arial" w:hAnsi="Arial" w:cs="Arial"/>
        </w:rPr>
        <w:tab/>
      </w:r>
      <w:r w:rsidR="009D0AAF" w:rsidRPr="0057173C">
        <w:rPr>
          <w:rFonts w:ascii="Arial" w:hAnsi="Arial" w:cs="Arial"/>
        </w:rPr>
        <w:t xml:space="preserve">We can see </w:t>
      </w:r>
      <w:r w:rsidR="003708BF" w:rsidRPr="0057173C">
        <w:rPr>
          <w:rFonts w:ascii="Arial" w:hAnsi="Arial" w:cs="Arial"/>
        </w:rPr>
        <w:t xml:space="preserve">that in relation to other benefits, </w:t>
      </w:r>
      <w:r w:rsidR="00DC2503" w:rsidRPr="0057173C">
        <w:rPr>
          <w:rFonts w:ascii="Arial" w:hAnsi="Arial" w:cs="Arial"/>
        </w:rPr>
        <w:t xml:space="preserve">difficult </w:t>
      </w:r>
      <w:r w:rsidR="003708BF" w:rsidRPr="0057173C">
        <w:rPr>
          <w:rFonts w:ascii="Arial" w:hAnsi="Arial" w:cs="Arial"/>
        </w:rPr>
        <w:t xml:space="preserve">issues may arise if a </w:t>
      </w:r>
      <w:r w:rsidR="003708C2" w:rsidRPr="0057173C">
        <w:rPr>
          <w:rFonts w:ascii="Arial" w:hAnsi="Arial" w:cs="Arial"/>
        </w:rPr>
        <w:t>compensation</w:t>
      </w:r>
      <w:r w:rsidR="003708BF" w:rsidRPr="0057173C">
        <w:rPr>
          <w:rFonts w:ascii="Arial" w:hAnsi="Arial" w:cs="Arial"/>
        </w:rPr>
        <w:t xml:space="preserve"> payment is used </w:t>
      </w:r>
      <w:proofErr w:type="gramStart"/>
      <w:r w:rsidR="003708BF" w:rsidRPr="0057173C">
        <w:rPr>
          <w:rFonts w:ascii="Arial" w:hAnsi="Arial" w:cs="Arial"/>
        </w:rPr>
        <w:t>in whole</w:t>
      </w:r>
      <w:proofErr w:type="gramEnd"/>
      <w:r w:rsidR="003708BF" w:rsidRPr="0057173C">
        <w:rPr>
          <w:rFonts w:ascii="Arial" w:hAnsi="Arial" w:cs="Arial"/>
        </w:rPr>
        <w:t xml:space="preserve"> or part for the purpose for which the </w:t>
      </w:r>
      <w:r w:rsidR="003708C2" w:rsidRPr="0057173C">
        <w:rPr>
          <w:rFonts w:ascii="Arial" w:hAnsi="Arial" w:cs="Arial"/>
        </w:rPr>
        <w:t>compensation</w:t>
      </w:r>
      <w:r w:rsidR="003708BF" w:rsidRPr="0057173C">
        <w:rPr>
          <w:rFonts w:ascii="Arial" w:hAnsi="Arial" w:cs="Arial"/>
        </w:rPr>
        <w:t xml:space="preserve"> was paid, such as disability </w:t>
      </w:r>
      <w:r w:rsidR="000844C8" w:rsidRPr="0057173C">
        <w:rPr>
          <w:rFonts w:ascii="Arial" w:hAnsi="Arial" w:cs="Arial"/>
        </w:rPr>
        <w:t xml:space="preserve">adaptations to a property (as </w:t>
      </w:r>
      <w:r w:rsidR="003708C2" w:rsidRPr="0057173C">
        <w:rPr>
          <w:rFonts w:ascii="Arial" w:hAnsi="Arial" w:cs="Arial"/>
        </w:rPr>
        <w:t>noted</w:t>
      </w:r>
      <w:r w:rsidR="000844C8" w:rsidRPr="0057173C">
        <w:rPr>
          <w:rFonts w:ascii="Arial" w:hAnsi="Arial" w:cs="Arial"/>
        </w:rPr>
        <w:t xml:space="preserve"> by the </w:t>
      </w:r>
      <w:r w:rsidR="005C5472" w:rsidRPr="0057173C">
        <w:rPr>
          <w:rFonts w:ascii="Arial" w:hAnsi="Arial" w:cs="Arial"/>
        </w:rPr>
        <w:t>authors</w:t>
      </w:r>
      <w:r w:rsidR="000844C8" w:rsidRPr="0057173C">
        <w:rPr>
          <w:rFonts w:ascii="Arial" w:hAnsi="Arial" w:cs="Arial"/>
        </w:rPr>
        <w:t xml:space="preserve"> </w:t>
      </w:r>
      <w:r w:rsidR="00E14552" w:rsidRPr="0057173C">
        <w:rPr>
          <w:rFonts w:ascii="Arial" w:hAnsi="Arial" w:cs="Arial"/>
        </w:rPr>
        <w:t>of</w:t>
      </w:r>
      <w:r w:rsidR="000844C8" w:rsidRPr="0057173C">
        <w:rPr>
          <w:rFonts w:ascii="Arial" w:hAnsi="Arial" w:cs="Arial"/>
        </w:rPr>
        <w:t xml:space="preserve"> </w:t>
      </w:r>
      <w:r w:rsidR="00373722" w:rsidRPr="0057173C">
        <w:rPr>
          <w:rFonts w:ascii="Arial" w:hAnsi="Arial" w:cs="Arial"/>
        </w:rPr>
        <w:t xml:space="preserve">Social Security Legislation 2025/26, Volume II </w:t>
      </w:r>
      <w:r w:rsidR="00A42BD9" w:rsidRPr="0057173C">
        <w:rPr>
          <w:rFonts w:ascii="Arial" w:hAnsi="Arial" w:cs="Arial"/>
        </w:rPr>
        <w:t>at 2.302 and 2.555</w:t>
      </w:r>
      <w:r w:rsidR="000F18D1" w:rsidRPr="0057173C">
        <w:rPr>
          <w:rFonts w:ascii="Arial" w:hAnsi="Arial" w:cs="Arial"/>
        </w:rPr>
        <w:t xml:space="preserve">). </w:t>
      </w:r>
      <w:r w:rsidR="00A5736A">
        <w:rPr>
          <w:rFonts w:ascii="Arial" w:hAnsi="Arial" w:cs="Arial"/>
        </w:rPr>
        <w:t xml:space="preserve"> </w:t>
      </w:r>
      <w:r w:rsidR="000F18D1" w:rsidRPr="0057173C">
        <w:rPr>
          <w:rFonts w:ascii="Arial" w:hAnsi="Arial" w:cs="Arial"/>
        </w:rPr>
        <w:t>That is not the present case</w:t>
      </w:r>
      <w:r w:rsidR="00421ABD" w:rsidRPr="0057173C">
        <w:rPr>
          <w:rFonts w:ascii="Arial" w:hAnsi="Arial" w:cs="Arial"/>
        </w:rPr>
        <w:t xml:space="preserve">. </w:t>
      </w:r>
      <w:r w:rsidR="00A5736A">
        <w:rPr>
          <w:rFonts w:ascii="Arial" w:hAnsi="Arial" w:cs="Arial"/>
        </w:rPr>
        <w:t xml:space="preserve"> </w:t>
      </w:r>
      <w:r w:rsidR="00421ABD" w:rsidRPr="0057173C">
        <w:rPr>
          <w:rFonts w:ascii="Arial" w:hAnsi="Arial" w:cs="Arial"/>
        </w:rPr>
        <w:t>We</w:t>
      </w:r>
      <w:r w:rsidR="00AC3C44" w:rsidRPr="0057173C">
        <w:rPr>
          <w:rFonts w:ascii="Arial" w:hAnsi="Arial" w:cs="Arial"/>
        </w:rPr>
        <w:t xml:space="preserve"> do </w:t>
      </w:r>
      <w:proofErr w:type="spellStart"/>
      <w:r w:rsidR="00E14552" w:rsidRPr="0057173C">
        <w:rPr>
          <w:rFonts w:ascii="Arial" w:hAnsi="Arial" w:cs="Arial"/>
        </w:rPr>
        <w:t>emphasise</w:t>
      </w:r>
      <w:proofErr w:type="spellEnd"/>
      <w:r w:rsidR="00AC3C44" w:rsidRPr="0057173C">
        <w:rPr>
          <w:rFonts w:ascii="Arial" w:hAnsi="Arial" w:cs="Arial"/>
        </w:rPr>
        <w:t xml:space="preserve"> that our </w:t>
      </w:r>
      <w:r w:rsidR="0098142F" w:rsidRPr="0057173C">
        <w:rPr>
          <w:rFonts w:ascii="Arial" w:hAnsi="Arial" w:cs="Arial"/>
        </w:rPr>
        <w:t>ruling</w:t>
      </w:r>
      <w:r w:rsidR="0091057E" w:rsidRPr="0057173C">
        <w:rPr>
          <w:rFonts w:ascii="Arial" w:hAnsi="Arial" w:cs="Arial"/>
        </w:rPr>
        <w:t xml:space="preserve"> is</w:t>
      </w:r>
      <w:r w:rsidR="00AC3C44" w:rsidRPr="0057173C">
        <w:rPr>
          <w:rFonts w:ascii="Arial" w:hAnsi="Arial" w:cs="Arial"/>
        </w:rPr>
        <w:t xml:space="preserve"> not intended</w:t>
      </w:r>
      <w:r w:rsidR="0091057E" w:rsidRPr="0057173C">
        <w:rPr>
          <w:rFonts w:ascii="Arial" w:hAnsi="Arial" w:cs="Arial"/>
        </w:rPr>
        <w:t xml:space="preserve"> </w:t>
      </w:r>
      <w:r w:rsidR="00AC3C44" w:rsidRPr="0057173C">
        <w:rPr>
          <w:rFonts w:ascii="Arial" w:hAnsi="Arial" w:cs="Arial"/>
        </w:rPr>
        <w:t xml:space="preserve">to have any application beyond the context of </w:t>
      </w:r>
      <w:r w:rsidR="003D2562" w:rsidRPr="0057173C">
        <w:rPr>
          <w:rFonts w:ascii="Arial" w:hAnsi="Arial" w:cs="Arial"/>
        </w:rPr>
        <w:t>SPC</w:t>
      </w:r>
      <w:r w:rsidR="00DE3936" w:rsidRPr="0057173C">
        <w:rPr>
          <w:rFonts w:ascii="Arial" w:hAnsi="Arial" w:cs="Arial"/>
        </w:rPr>
        <w:t xml:space="preserve">, with its </w:t>
      </w:r>
      <w:proofErr w:type="gramStart"/>
      <w:r w:rsidR="0098142F" w:rsidRPr="0057173C">
        <w:rPr>
          <w:rFonts w:ascii="Arial" w:hAnsi="Arial" w:cs="Arial"/>
        </w:rPr>
        <w:t>particular</w:t>
      </w:r>
      <w:r w:rsidR="00DE3936" w:rsidRPr="0057173C">
        <w:rPr>
          <w:rFonts w:ascii="Arial" w:hAnsi="Arial" w:cs="Arial"/>
        </w:rPr>
        <w:t xml:space="preserve"> </w:t>
      </w:r>
      <w:r w:rsidR="0098142F" w:rsidRPr="0057173C">
        <w:rPr>
          <w:rFonts w:ascii="Arial" w:hAnsi="Arial" w:cs="Arial"/>
        </w:rPr>
        <w:t>r</w:t>
      </w:r>
      <w:r w:rsidR="00DE3936" w:rsidRPr="0057173C">
        <w:rPr>
          <w:rFonts w:ascii="Arial" w:hAnsi="Arial" w:cs="Arial"/>
        </w:rPr>
        <w:t>egime</w:t>
      </w:r>
      <w:proofErr w:type="gramEnd"/>
      <w:r w:rsidR="00DE3936" w:rsidRPr="0057173C">
        <w:rPr>
          <w:rFonts w:ascii="Arial" w:hAnsi="Arial" w:cs="Arial"/>
        </w:rPr>
        <w:t xml:space="preserve"> for </w:t>
      </w:r>
      <w:r w:rsidR="0098142F" w:rsidRPr="0057173C">
        <w:rPr>
          <w:rFonts w:ascii="Arial" w:hAnsi="Arial" w:cs="Arial"/>
        </w:rPr>
        <w:t>claimants</w:t>
      </w:r>
      <w:r w:rsidR="00DE3936" w:rsidRPr="0057173C">
        <w:rPr>
          <w:rFonts w:ascii="Arial" w:hAnsi="Arial" w:cs="Arial"/>
        </w:rPr>
        <w:t xml:space="preserve"> </w:t>
      </w:r>
      <w:r w:rsidR="0098142F" w:rsidRPr="0057173C">
        <w:rPr>
          <w:rFonts w:ascii="Arial" w:hAnsi="Arial" w:cs="Arial"/>
        </w:rPr>
        <w:t>who</w:t>
      </w:r>
      <w:r w:rsidR="00DE3936" w:rsidRPr="0057173C">
        <w:rPr>
          <w:rFonts w:ascii="Arial" w:hAnsi="Arial" w:cs="Arial"/>
        </w:rPr>
        <w:t xml:space="preserve"> have </w:t>
      </w:r>
      <w:r w:rsidR="0098142F" w:rsidRPr="0057173C">
        <w:rPr>
          <w:rFonts w:ascii="Arial" w:hAnsi="Arial" w:cs="Arial"/>
        </w:rPr>
        <w:t>reached</w:t>
      </w:r>
      <w:r w:rsidR="00DE3936" w:rsidRPr="0057173C">
        <w:rPr>
          <w:rFonts w:ascii="Arial" w:hAnsi="Arial" w:cs="Arial"/>
        </w:rPr>
        <w:t xml:space="preserve"> state </w:t>
      </w:r>
      <w:r w:rsidR="009544D9" w:rsidRPr="0057173C">
        <w:rPr>
          <w:rFonts w:ascii="Arial" w:hAnsi="Arial" w:cs="Arial"/>
        </w:rPr>
        <w:t>pensionable</w:t>
      </w:r>
      <w:r w:rsidR="00DE3936" w:rsidRPr="0057173C">
        <w:rPr>
          <w:rFonts w:ascii="Arial" w:hAnsi="Arial" w:cs="Arial"/>
        </w:rPr>
        <w:t xml:space="preserve"> age.</w:t>
      </w:r>
    </w:p>
    <w:p w14:paraId="5FEDAD23" w14:textId="77777777" w:rsidR="003E0776" w:rsidRPr="0057173C" w:rsidRDefault="003E0776" w:rsidP="00A5736A">
      <w:pPr>
        <w:tabs>
          <w:tab w:val="left" w:pos="510"/>
          <w:tab w:val="left" w:pos="1077"/>
          <w:tab w:val="left" w:pos="1797"/>
        </w:tabs>
        <w:ind w:left="510" w:hanging="510"/>
        <w:jc w:val="both"/>
        <w:rPr>
          <w:rFonts w:ascii="Arial" w:hAnsi="Arial" w:cs="Arial"/>
        </w:rPr>
      </w:pPr>
    </w:p>
    <w:p w14:paraId="3C1802DD" w14:textId="0A5F72E9" w:rsidR="00B719E8" w:rsidRPr="0057173C" w:rsidRDefault="00BD46D0" w:rsidP="00A5736A">
      <w:pPr>
        <w:tabs>
          <w:tab w:val="left" w:pos="510"/>
          <w:tab w:val="left" w:pos="567"/>
          <w:tab w:val="left" w:pos="1077"/>
          <w:tab w:val="left" w:pos="1797"/>
        </w:tabs>
        <w:ind w:left="510" w:hanging="510"/>
        <w:jc w:val="both"/>
        <w:rPr>
          <w:rFonts w:ascii="Arial" w:hAnsi="Arial" w:cs="Arial"/>
        </w:rPr>
      </w:pPr>
      <w:r w:rsidRPr="0057173C">
        <w:rPr>
          <w:rFonts w:ascii="Arial" w:hAnsi="Arial" w:cs="Arial"/>
        </w:rPr>
        <w:t>1</w:t>
      </w:r>
      <w:r w:rsidR="00655D1B" w:rsidRPr="0057173C">
        <w:rPr>
          <w:rFonts w:ascii="Arial" w:hAnsi="Arial" w:cs="Arial"/>
        </w:rPr>
        <w:t>4</w:t>
      </w:r>
      <w:r w:rsidRPr="0057173C">
        <w:rPr>
          <w:rFonts w:ascii="Arial" w:hAnsi="Arial" w:cs="Arial"/>
        </w:rPr>
        <w:t>.</w:t>
      </w:r>
      <w:r w:rsidR="00486EE3" w:rsidRPr="0057173C">
        <w:rPr>
          <w:rFonts w:ascii="Arial" w:hAnsi="Arial" w:cs="Arial"/>
        </w:rPr>
        <w:tab/>
      </w:r>
      <w:r w:rsidRPr="0057173C">
        <w:rPr>
          <w:rFonts w:ascii="Arial" w:hAnsi="Arial" w:cs="Arial"/>
        </w:rPr>
        <w:t>We find</w:t>
      </w:r>
      <w:r w:rsidR="00DE3936" w:rsidRPr="0057173C">
        <w:rPr>
          <w:rFonts w:ascii="Arial" w:hAnsi="Arial" w:cs="Arial"/>
        </w:rPr>
        <w:t xml:space="preserve"> accordingly</w:t>
      </w:r>
      <w:r w:rsidRPr="0057173C">
        <w:rPr>
          <w:rFonts w:ascii="Arial" w:hAnsi="Arial" w:cs="Arial"/>
        </w:rPr>
        <w:t xml:space="preserve"> that paragraph 16(1) should be </w:t>
      </w:r>
      <w:proofErr w:type="gramStart"/>
      <w:r w:rsidRPr="0057173C">
        <w:rPr>
          <w:rFonts w:ascii="Arial" w:hAnsi="Arial" w:cs="Arial"/>
        </w:rPr>
        <w:t>interpreted</w:t>
      </w:r>
      <w:proofErr w:type="gramEnd"/>
      <w:r w:rsidRPr="0057173C">
        <w:rPr>
          <w:rFonts w:ascii="Arial" w:hAnsi="Arial" w:cs="Arial"/>
        </w:rPr>
        <w:t xml:space="preserve"> </w:t>
      </w:r>
      <w:r w:rsidR="00276A3F" w:rsidRPr="0057173C">
        <w:rPr>
          <w:rFonts w:ascii="Arial" w:hAnsi="Arial" w:cs="Arial"/>
        </w:rPr>
        <w:t>such that</w:t>
      </w:r>
      <w:r w:rsidRPr="0057173C">
        <w:rPr>
          <w:rFonts w:ascii="Arial" w:hAnsi="Arial" w:cs="Arial"/>
        </w:rPr>
        <w:t xml:space="preserve"> </w:t>
      </w:r>
      <w:r w:rsidR="00D1719B" w:rsidRPr="0057173C">
        <w:rPr>
          <w:rFonts w:ascii="Arial" w:hAnsi="Arial" w:cs="Arial"/>
        </w:rPr>
        <w:t>a disregard</w:t>
      </w:r>
      <w:r w:rsidRPr="0057173C">
        <w:rPr>
          <w:rFonts w:ascii="Arial" w:hAnsi="Arial" w:cs="Arial"/>
        </w:rPr>
        <w:t xml:space="preserve"> equal to th</w:t>
      </w:r>
      <w:r w:rsidR="00276A3F" w:rsidRPr="0057173C">
        <w:rPr>
          <w:rFonts w:ascii="Arial" w:hAnsi="Arial" w:cs="Arial"/>
        </w:rPr>
        <w:t>e</w:t>
      </w:r>
      <w:r w:rsidRPr="0057173C">
        <w:rPr>
          <w:rFonts w:ascii="Arial" w:hAnsi="Arial" w:cs="Arial"/>
        </w:rPr>
        <w:t xml:space="preserve"> amount </w:t>
      </w:r>
      <w:r w:rsidR="00276A3F" w:rsidRPr="0057173C">
        <w:rPr>
          <w:rFonts w:ascii="Arial" w:hAnsi="Arial" w:cs="Arial"/>
        </w:rPr>
        <w:t xml:space="preserve">of capital awarded </w:t>
      </w:r>
      <w:proofErr w:type="gramStart"/>
      <w:r w:rsidR="00276A3F" w:rsidRPr="0057173C">
        <w:rPr>
          <w:rFonts w:ascii="Arial" w:hAnsi="Arial" w:cs="Arial"/>
        </w:rPr>
        <w:t>as a result of</w:t>
      </w:r>
      <w:proofErr w:type="gramEnd"/>
      <w:r w:rsidR="00276A3F" w:rsidRPr="0057173C">
        <w:rPr>
          <w:rFonts w:ascii="Arial" w:hAnsi="Arial" w:cs="Arial"/>
        </w:rPr>
        <w:t xml:space="preserve"> a personal injury </w:t>
      </w:r>
      <w:r w:rsidRPr="0057173C">
        <w:rPr>
          <w:rFonts w:ascii="Arial" w:hAnsi="Arial" w:cs="Arial"/>
        </w:rPr>
        <w:t xml:space="preserve">is </w:t>
      </w:r>
      <w:r w:rsidR="00803C50" w:rsidRPr="0057173C">
        <w:rPr>
          <w:rFonts w:ascii="Arial" w:hAnsi="Arial" w:cs="Arial"/>
        </w:rPr>
        <w:t xml:space="preserve">indefinitely </w:t>
      </w:r>
      <w:r w:rsidRPr="0057173C">
        <w:rPr>
          <w:rFonts w:ascii="Arial" w:hAnsi="Arial" w:cs="Arial"/>
        </w:rPr>
        <w:t>retained and applied to future assessments of income</w:t>
      </w:r>
      <w:r w:rsidR="00803C50" w:rsidRPr="0057173C">
        <w:rPr>
          <w:rFonts w:ascii="Arial" w:hAnsi="Arial" w:cs="Arial"/>
        </w:rPr>
        <w:t xml:space="preserve"> for the purposes of an SPC calculation</w:t>
      </w:r>
      <w:r w:rsidRPr="0057173C">
        <w:rPr>
          <w:rFonts w:ascii="Arial" w:hAnsi="Arial" w:cs="Arial"/>
        </w:rPr>
        <w:t>.</w:t>
      </w:r>
    </w:p>
    <w:p w14:paraId="0032A863" w14:textId="77777777" w:rsidR="00313561" w:rsidRPr="0057173C" w:rsidRDefault="00313561" w:rsidP="00A5736A">
      <w:pPr>
        <w:tabs>
          <w:tab w:val="left" w:pos="510"/>
          <w:tab w:val="left" w:pos="1077"/>
          <w:tab w:val="left" w:pos="1797"/>
          <w:tab w:val="center" w:pos="4513"/>
        </w:tabs>
        <w:suppressAutoHyphens/>
        <w:ind w:left="510" w:hanging="510"/>
        <w:jc w:val="both"/>
        <w:rPr>
          <w:rFonts w:ascii="Arial" w:hAnsi="Arial" w:cs="Arial"/>
          <w:spacing w:val="-3"/>
          <w:lang w:val="en-GB"/>
        </w:rPr>
      </w:pPr>
    </w:p>
    <w:p w14:paraId="3272981C" w14:textId="0AC80B45" w:rsidR="00BD46D0" w:rsidRDefault="00BD46D0" w:rsidP="00A5736A">
      <w:pPr>
        <w:widowControl/>
        <w:tabs>
          <w:tab w:val="left" w:pos="510"/>
          <w:tab w:val="left" w:pos="567"/>
          <w:tab w:val="left" w:pos="1077"/>
          <w:tab w:val="left" w:pos="1797"/>
        </w:tabs>
        <w:suppressAutoHyphens/>
        <w:ind w:left="510" w:hanging="510"/>
        <w:jc w:val="both"/>
        <w:rPr>
          <w:rFonts w:ascii="Arial" w:hAnsi="Arial" w:cs="Arial"/>
          <w:spacing w:val="-3"/>
          <w:lang w:val="en-GB"/>
        </w:rPr>
      </w:pPr>
      <w:r w:rsidRPr="0057173C">
        <w:rPr>
          <w:rFonts w:ascii="Arial" w:hAnsi="Arial" w:cs="Arial"/>
          <w:spacing w:val="-3"/>
          <w:lang w:val="en-GB"/>
        </w:rPr>
        <w:lastRenderedPageBreak/>
        <w:t>1</w:t>
      </w:r>
      <w:r w:rsidR="00655D1B" w:rsidRPr="0057173C">
        <w:rPr>
          <w:rFonts w:ascii="Arial" w:hAnsi="Arial" w:cs="Arial"/>
          <w:spacing w:val="-3"/>
          <w:lang w:val="en-GB"/>
        </w:rPr>
        <w:t>5</w:t>
      </w:r>
      <w:r w:rsidRPr="0057173C">
        <w:rPr>
          <w:rFonts w:ascii="Arial" w:hAnsi="Arial" w:cs="Arial"/>
          <w:spacing w:val="-3"/>
          <w:lang w:val="en-GB"/>
        </w:rPr>
        <w:t>.</w:t>
      </w:r>
      <w:r w:rsidR="00486EE3" w:rsidRPr="0057173C">
        <w:rPr>
          <w:rFonts w:ascii="Arial" w:hAnsi="Arial" w:cs="Arial"/>
          <w:spacing w:val="-3"/>
          <w:lang w:val="en-GB"/>
        </w:rPr>
        <w:tab/>
      </w:r>
      <w:r w:rsidRPr="0057173C">
        <w:rPr>
          <w:rFonts w:ascii="Arial" w:hAnsi="Arial" w:cs="Arial"/>
          <w:spacing w:val="-3"/>
          <w:lang w:val="en-GB"/>
        </w:rPr>
        <w:t>In line with the wishes of both parties</w:t>
      </w:r>
      <w:r w:rsidR="00813863" w:rsidRPr="0057173C">
        <w:rPr>
          <w:rFonts w:ascii="Arial" w:hAnsi="Arial" w:cs="Arial"/>
          <w:spacing w:val="-3"/>
          <w:lang w:val="en-GB"/>
        </w:rPr>
        <w:t xml:space="preserve"> and as we consider it appropriate to do so</w:t>
      </w:r>
      <w:r w:rsidRPr="0057173C">
        <w:rPr>
          <w:rFonts w:ascii="Arial" w:hAnsi="Arial" w:cs="Arial"/>
          <w:spacing w:val="-3"/>
          <w:lang w:val="en-GB"/>
        </w:rPr>
        <w:t xml:space="preserve">, we consent to the withdrawal of this appeal.  We are grateful to the parties for their </w:t>
      </w:r>
      <w:r w:rsidR="0090613C" w:rsidRPr="0057173C">
        <w:rPr>
          <w:rFonts w:ascii="Arial" w:hAnsi="Arial" w:cs="Arial"/>
          <w:spacing w:val="-3"/>
          <w:lang w:val="en-GB"/>
        </w:rPr>
        <w:t>submissions in relation to both the substantive and procedural issues.</w:t>
      </w:r>
    </w:p>
    <w:p w14:paraId="792B003A" w14:textId="77777777" w:rsidR="00A5736A" w:rsidRDefault="00A5736A" w:rsidP="00A5736A">
      <w:pPr>
        <w:widowControl/>
        <w:tabs>
          <w:tab w:val="left" w:pos="510"/>
          <w:tab w:val="left" w:pos="567"/>
          <w:tab w:val="left" w:pos="1077"/>
          <w:tab w:val="left" w:pos="1797"/>
        </w:tabs>
        <w:suppressAutoHyphens/>
        <w:ind w:left="510" w:hanging="510"/>
        <w:jc w:val="both"/>
        <w:rPr>
          <w:rFonts w:ascii="Arial" w:hAnsi="Arial" w:cs="Arial"/>
          <w:spacing w:val="-3"/>
          <w:lang w:val="en-GB"/>
        </w:rPr>
      </w:pPr>
    </w:p>
    <w:p w14:paraId="2CFC1A9E" w14:textId="77777777" w:rsidR="00332547" w:rsidRPr="0057173C" w:rsidRDefault="00332547" w:rsidP="00A5736A">
      <w:pPr>
        <w:widowControl/>
        <w:tabs>
          <w:tab w:val="left" w:pos="510"/>
          <w:tab w:val="left" w:pos="567"/>
          <w:tab w:val="left" w:pos="1077"/>
          <w:tab w:val="left" w:pos="1797"/>
        </w:tabs>
        <w:suppressAutoHyphens/>
        <w:ind w:left="510" w:hanging="510"/>
        <w:jc w:val="both"/>
        <w:rPr>
          <w:rFonts w:ascii="Arial" w:hAnsi="Arial" w:cs="Arial"/>
          <w:spacing w:val="-3"/>
          <w:lang w:val="en-GB"/>
        </w:rPr>
      </w:pPr>
    </w:p>
    <w:p w14:paraId="71424236" w14:textId="3EF04EE8" w:rsidR="008B4347" w:rsidRPr="0057173C" w:rsidRDefault="00EA43C9" w:rsidP="0057173C">
      <w:pPr>
        <w:tabs>
          <w:tab w:val="right" w:pos="9356"/>
        </w:tabs>
        <w:suppressAutoHyphens/>
        <w:jc w:val="both"/>
        <w:rPr>
          <w:rFonts w:ascii="Arial" w:hAnsi="Arial" w:cs="Arial"/>
          <w:spacing w:val="-3"/>
          <w:lang w:val="en-GB"/>
        </w:rPr>
      </w:pPr>
      <w:r w:rsidRPr="0057173C">
        <w:rPr>
          <w:rFonts w:ascii="Arial" w:hAnsi="Arial" w:cs="Arial"/>
          <w:noProof/>
        </w:rPr>
        <w:drawing>
          <wp:inline distT="0" distB="0" distL="0" distR="0" wp14:anchorId="77DF285F" wp14:editId="2700C198">
            <wp:extent cx="1695450" cy="464185"/>
            <wp:effectExtent l="0" t="0" r="0" b="0"/>
            <wp:docPr id="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ext on a white background&#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5450" cy="464185"/>
                    </a:xfrm>
                    <a:prstGeom prst="rect">
                      <a:avLst/>
                    </a:prstGeom>
                    <a:noFill/>
                    <a:ln>
                      <a:noFill/>
                    </a:ln>
                  </pic:spPr>
                </pic:pic>
              </a:graphicData>
            </a:graphic>
          </wp:inline>
        </w:drawing>
      </w:r>
    </w:p>
    <w:p w14:paraId="15F30A41" w14:textId="4380C795" w:rsidR="00BD46D0" w:rsidRPr="00A5736A" w:rsidRDefault="00BE47D0" w:rsidP="00A5736A">
      <w:pPr>
        <w:tabs>
          <w:tab w:val="center" w:pos="4513"/>
        </w:tabs>
        <w:suppressAutoHyphens/>
        <w:rPr>
          <w:rFonts w:ascii="Arial" w:hAnsi="Arial" w:cs="Arial"/>
          <w:spacing w:val="-3"/>
          <w:lang w:val="en-GB"/>
        </w:rPr>
      </w:pPr>
      <w:r w:rsidRPr="00A5736A">
        <w:rPr>
          <w:rFonts w:ascii="Arial" w:hAnsi="Arial" w:cs="Arial"/>
          <w:spacing w:val="-3"/>
          <w:lang w:val="en-GB"/>
        </w:rPr>
        <w:t>E Fitzpatrick</w:t>
      </w:r>
    </w:p>
    <w:p w14:paraId="57F270B0" w14:textId="77777777" w:rsidR="00A5736A" w:rsidRDefault="00A5736A" w:rsidP="00A5736A">
      <w:pPr>
        <w:tabs>
          <w:tab w:val="center" w:pos="4513"/>
        </w:tabs>
        <w:suppressAutoHyphens/>
        <w:rPr>
          <w:rFonts w:ascii="Arial" w:hAnsi="Arial" w:cs="Arial"/>
          <w:spacing w:val="-3"/>
          <w:lang w:val="en-GB"/>
        </w:rPr>
      </w:pPr>
    </w:p>
    <w:p w14:paraId="27DD242D" w14:textId="3C1DA291" w:rsidR="00BE47D0" w:rsidRDefault="00BE47D0" w:rsidP="00A5736A">
      <w:pPr>
        <w:tabs>
          <w:tab w:val="center" w:pos="4513"/>
        </w:tabs>
        <w:suppressAutoHyphens/>
        <w:rPr>
          <w:rFonts w:ascii="Arial" w:hAnsi="Arial" w:cs="Arial"/>
          <w:spacing w:val="-3"/>
          <w:lang w:val="en-GB"/>
        </w:rPr>
      </w:pPr>
      <w:r w:rsidRPr="00A5736A">
        <w:rPr>
          <w:rFonts w:ascii="Arial" w:hAnsi="Arial" w:cs="Arial"/>
          <w:spacing w:val="-3"/>
          <w:lang w:val="en-GB"/>
        </w:rPr>
        <w:t>Chief Commissioner for Northern Ireland</w:t>
      </w:r>
    </w:p>
    <w:p w14:paraId="653AC557" w14:textId="77777777" w:rsidR="00A5736A" w:rsidRPr="00A5736A" w:rsidRDefault="00A5736A" w:rsidP="00A5736A">
      <w:pPr>
        <w:tabs>
          <w:tab w:val="center" w:pos="4513"/>
        </w:tabs>
        <w:suppressAutoHyphens/>
        <w:rPr>
          <w:rFonts w:ascii="Arial" w:hAnsi="Arial" w:cs="Arial"/>
          <w:spacing w:val="-3"/>
          <w:lang w:val="en-GB"/>
        </w:rPr>
      </w:pPr>
    </w:p>
    <w:p w14:paraId="415FD401" w14:textId="72488D01" w:rsidR="00D31EFE" w:rsidRPr="0057173C" w:rsidRDefault="00EA43C9" w:rsidP="00A5736A">
      <w:pPr>
        <w:tabs>
          <w:tab w:val="center" w:pos="4513"/>
        </w:tabs>
        <w:suppressAutoHyphens/>
        <w:rPr>
          <w:rFonts w:ascii="Arial" w:hAnsi="Arial" w:cs="Arial"/>
          <w:b/>
          <w:bCs/>
          <w:spacing w:val="-3"/>
          <w:lang w:val="en-GB"/>
        </w:rPr>
      </w:pPr>
      <w:r w:rsidRPr="0057173C">
        <w:rPr>
          <w:rFonts w:ascii="Arial" w:hAnsi="Arial" w:cs="Arial"/>
          <w:noProof/>
        </w:rPr>
        <w:drawing>
          <wp:inline distT="0" distB="0" distL="0" distR="0" wp14:anchorId="471CB0EF" wp14:editId="22D93978">
            <wp:extent cx="1892300" cy="496541"/>
            <wp:effectExtent l="0" t="0" r="0" b="0"/>
            <wp:docPr id="2" name="Picture 3" descr="A black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signature on a white background&#10;&#10;AI-generated content may be incorrect."/>
                    <pic:cNvPicPr>
                      <a:picLocks noChangeAspect="1" noChangeArrowheads="1"/>
                    </pic:cNvPicPr>
                  </pic:nvPicPr>
                  <pic:blipFill rotWithShape="1">
                    <a:blip r:embed="rId13">
                      <a:extLst>
                        <a:ext uri="{28A0092B-C50C-407E-A947-70E740481C1C}">
                          <a14:useLocalDpi xmlns:a14="http://schemas.microsoft.com/office/drawing/2010/main" val="0"/>
                        </a:ext>
                      </a:extLst>
                    </a:blip>
                    <a:srcRect l="4697"/>
                    <a:stretch>
                      <a:fillRect/>
                    </a:stretch>
                  </pic:blipFill>
                  <pic:spPr bwMode="auto">
                    <a:xfrm>
                      <a:off x="0" y="0"/>
                      <a:ext cx="1898851" cy="498260"/>
                    </a:xfrm>
                    <a:prstGeom prst="rect">
                      <a:avLst/>
                    </a:prstGeom>
                    <a:noFill/>
                    <a:ln>
                      <a:noFill/>
                    </a:ln>
                    <a:extLst>
                      <a:ext uri="{53640926-AAD7-44D8-BBD7-CCE9431645EC}">
                        <a14:shadowObscured xmlns:a14="http://schemas.microsoft.com/office/drawing/2010/main"/>
                      </a:ext>
                    </a:extLst>
                  </pic:spPr>
                </pic:pic>
              </a:graphicData>
            </a:graphic>
          </wp:inline>
        </w:drawing>
      </w:r>
    </w:p>
    <w:p w14:paraId="14550148" w14:textId="77777777" w:rsidR="00C748CE" w:rsidRPr="00A5736A" w:rsidRDefault="00BE47D0" w:rsidP="00A5736A">
      <w:pPr>
        <w:tabs>
          <w:tab w:val="center" w:pos="4513"/>
        </w:tabs>
        <w:suppressAutoHyphens/>
        <w:rPr>
          <w:rFonts w:ascii="Arial" w:hAnsi="Arial" w:cs="Arial"/>
          <w:spacing w:val="-3"/>
          <w:lang w:val="en-GB"/>
        </w:rPr>
      </w:pPr>
      <w:r w:rsidRPr="00A5736A">
        <w:rPr>
          <w:rFonts w:ascii="Arial" w:hAnsi="Arial" w:cs="Arial"/>
          <w:spacing w:val="-3"/>
          <w:lang w:val="en-GB"/>
        </w:rPr>
        <w:t>C Ward</w:t>
      </w:r>
    </w:p>
    <w:p w14:paraId="2A700A2A" w14:textId="77777777" w:rsidR="00A5736A" w:rsidRDefault="00A5736A" w:rsidP="00A5736A">
      <w:pPr>
        <w:tabs>
          <w:tab w:val="center" w:pos="4513"/>
        </w:tabs>
        <w:suppressAutoHyphens/>
        <w:rPr>
          <w:rFonts w:ascii="Arial" w:hAnsi="Arial" w:cs="Arial"/>
          <w:spacing w:val="-3"/>
          <w:lang w:val="en-GB"/>
        </w:rPr>
      </w:pPr>
    </w:p>
    <w:p w14:paraId="1C1EF59C" w14:textId="1AB19A10" w:rsidR="00C748CE" w:rsidRPr="00A5736A" w:rsidRDefault="00BE47D0" w:rsidP="00A5736A">
      <w:pPr>
        <w:tabs>
          <w:tab w:val="center" w:pos="4513"/>
        </w:tabs>
        <w:suppressAutoHyphens/>
        <w:rPr>
          <w:rFonts w:ascii="Arial" w:hAnsi="Arial" w:cs="Arial"/>
          <w:spacing w:val="-3"/>
          <w:lang w:val="en-GB"/>
        </w:rPr>
      </w:pPr>
      <w:r w:rsidRPr="00A5736A">
        <w:rPr>
          <w:rFonts w:ascii="Arial" w:hAnsi="Arial" w:cs="Arial"/>
          <w:spacing w:val="-3"/>
          <w:lang w:val="en-GB"/>
        </w:rPr>
        <w:t>Deputy Commissioner for Northern Ireland</w:t>
      </w:r>
    </w:p>
    <w:p w14:paraId="6AC11BF7" w14:textId="77777777" w:rsidR="00C748CE" w:rsidRPr="0057173C" w:rsidRDefault="00C748CE" w:rsidP="00A5736A">
      <w:pPr>
        <w:tabs>
          <w:tab w:val="center" w:pos="4513"/>
        </w:tabs>
        <w:suppressAutoHyphens/>
        <w:rPr>
          <w:rFonts w:ascii="Arial" w:hAnsi="Arial" w:cs="Arial"/>
          <w:b/>
          <w:bCs/>
          <w:spacing w:val="-3"/>
          <w:lang w:val="en-GB"/>
        </w:rPr>
      </w:pPr>
    </w:p>
    <w:p w14:paraId="0D5AB8B6" w14:textId="275565A6" w:rsidR="00BE47D0" w:rsidRDefault="00EA43C9" w:rsidP="00A5736A">
      <w:pPr>
        <w:tabs>
          <w:tab w:val="center" w:pos="4513"/>
        </w:tabs>
        <w:suppressAutoHyphens/>
        <w:rPr>
          <w:rFonts w:ascii="Arial" w:hAnsi="Arial" w:cs="Arial"/>
          <w:b/>
          <w:bCs/>
          <w:spacing w:val="-3"/>
          <w:lang w:val="en-GB"/>
        </w:rPr>
      </w:pPr>
      <w:r w:rsidRPr="0057173C">
        <w:rPr>
          <w:rFonts w:ascii="Arial" w:hAnsi="Arial" w:cs="Arial"/>
          <w:noProof/>
        </w:rPr>
        <w:drawing>
          <wp:inline distT="0" distB="0" distL="0" distR="0" wp14:anchorId="32BC945F" wp14:editId="5E95EE12">
            <wp:extent cx="1809750" cy="466377"/>
            <wp:effectExtent l="0" t="0" r="0" b="0"/>
            <wp:docPr id="3" name="Picture 1" descr="A close-up of a black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black line&#10;&#10;AI-generated content may be incorrect."/>
                    <pic:cNvPicPr>
                      <a:picLocks noChangeAspect="1" noChangeArrowheads="1"/>
                    </pic:cNvPicPr>
                  </pic:nvPicPr>
                  <pic:blipFill rotWithShape="1">
                    <a:blip r:embed="rId14" cstate="print">
                      <a:biLevel thresh="50000"/>
                      <a:extLst>
                        <a:ext uri="{28A0092B-C50C-407E-A947-70E740481C1C}">
                          <a14:useLocalDpi xmlns:a14="http://schemas.microsoft.com/office/drawing/2010/main" val="0"/>
                        </a:ext>
                      </a:extLst>
                    </a:blip>
                    <a:srcRect l="3776"/>
                    <a:stretch>
                      <a:fillRect/>
                    </a:stretch>
                  </pic:blipFill>
                  <pic:spPr bwMode="auto">
                    <a:xfrm>
                      <a:off x="0" y="0"/>
                      <a:ext cx="1834484" cy="472751"/>
                    </a:xfrm>
                    <a:prstGeom prst="rect">
                      <a:avLst/>
                    </a:prstGeom>
                    <a:noFill/>
                    <a:ln>
                      <a:noFill/>
                    </a:ln>
                    <a:extLst>
                      <a:ext uri="{53640926-AAD7-44D8-BBD7-CCE9431645EC}">
                        <a14:shadowObscured xmlns:a14="http://schemas.microsoft.com/office/drawing/2010/main"/>
                      </a:ext>
                    </a:extLst>
                  </pic:spPr>
                </pic:pic>
              </a:graphicData>
            </a:graphic>
          </wp:inline>
        </w:drawing>
      </w:r>
    </w:p>
    <w:p w14:paraId="4838D79E" w14:textId="77777777" w:rsidR="00A5736A" w:rsidRPr="0057173C" w:rsidRDefault="00A5736A" w:rsidP="00A5736A">
      <w:pPr>
        <w:tabs>
          <w:tab w:val="center" w:pos="4513"/>
        </w:tabs>
        <w:suppressAutoHyphens/>
        <w:rPr>
          <w:rFonts w:ascii="Arial" w:hAnsi="Arial" w:cs="Arial"/>
          <w:b/>
          <w:bCs/>
          <w:spacing w:val="-3"/>
          <w:lang w:val="en-GB"/>
        </w:rPr>
      </w:pPr>
    </w:p>
    <w:p w14:paraId="6C6CD9C2" w14:textId="77777777" w:rsidR="00BE47D0" w:rsidRPr="00A5736A" w:rsidRDefault="00BE47D0" w:rsidP="00A5736A">
      <w:pPr>
        <w:tabs>
          <w:tab w:val="center" w:pos="4513"/>
        </w:tabs>
        <w:suppressAutoHyphens/>
        <w:rPr>
          <w:rFonts w:ascii="Arial" w:hAnsi="Arial" w:cs="Arial"/>
          <w:spacing w:val="-3"/>
          <w:lang w:val="en-GB"/>
        </w:rPr>
      </w:pPr>
      <w:r w:rsidRPr="00A5736A">
        <w:rPr>
          <w:rFonts w:ascii="Arial" w:hAnsi="Arial" w:cs="Arial"/>
          <w:spacing w:val="-3"/>
          <w:lang w:val="en-GB"/>
        </w:rPr>
        <w:t>L J Smith</w:t>
      </w:r>
    </w:p>
    <w:p w14:paraId="752BAD93" w14:textId="77777777" w:rsidR="00A5736A" w:rsidRDefault="00A5736A" w:rsidP="00A5736A">
      <w:pPr>
        <w:tabs>
          <w:tab w:val="center" w:pos="4513"/>
        </w:tabs>
        <w:suppressAutoHyphens/>
        <w:rPr>
          <w:rFonts w:ascii="Arial" w:hAnsi="Arial" w:cs="Arial"/>
          <w:spacing w:val="-3"/>
          <w:lang w:val="en-GB"/>
        </w:rPr>
      </w:pPr>
    </w:p>
    <w:p w14:paraId="26EAD7CC" w14:textId="47B49101" w:rsidR="00BE47D0" w:rsidRPr="00A5736A" w:rsidRDefault="00BE47D0" w:rsidP="00A5736A">
      <w:pPr>
        <w:tabs>
          <w:tab w:val="center" w:pos="4513"/>
        </w:tabs>
        <w:suppressAutoHyphens/>
        <w:rPr>
          <w:rFonts w:ascii="Arial" w:hAnsi="Arial" w:cs="Arial"/>
          <w:spacing w:val="-3"/>
          <w:lang w:val="en-GB"/>
        </w:rPr>
      </w:pPr>
      <w:r w:rsidRPr="00A5736A">
        <w:rPr>
          <w:rFonts w:ascii="Arial" w:hAnsi="Arial" w:cs="Arial"/>
          <w:spacing w:val="-3"/>
          <w:lang w:val="en-GB"/>
        </w:rPr>
        <w:t>Deputy Commissioner for Northern Ireland</w:t>
      </w:r>
    </w:p>
    <w:p w14:paraId="1A656B61" w14:textId="77777777" w:rsidR="00BE47D0" w:rsidRPr="00A5736A" w:rsidRDefault="00BE47D0" w:rsidP="00A5736A">
      <w:pPr>
        <w:tabs>
          <w:tab w:val="center" w:pos="4513"/>
        </w:tabs>
        <w:suppressAutoHyphens/>
        <w:rPr>
          <w:rFonts w:ascii="Arial" w:hAnsi="Arial" w:cs="Arial"/>
          <w:spacing w:val="-3"/>
          <w:lang w:val="en-GB"/>
        </w:rPr>
      </w:pPr>
    </w:p>
    <w:p w14:paraId="0F462494" w14:textId="77777777" w:rsidR="00A5736A" w:rsidRPr="00A5736A" w:rsidRDefault="00A5736A" w:rsidP="00A5736A">
      <w:pPr>
        <w:tabs>
          <w:tab w:val="center" w:pos="4513"/>
        </w:tabs>
        <w:suppressAutoHyphens/>
        <w:rPr>
          <w:rFonts w:ascii="Arial" w:hAnsi="Arial" w:cs="Arial"/>
          <w:spacing w:val="-3"/>
          <w:lang w:val="en-GB"/>
        </w:rPr>
      </w:pPr>
    </w:p>
    <w:p w14:paraId="506E8CD5" w14:textId="77777777" w:rsidR="00A5736A" w:rsidRPr="00A5736A" w:rsidRDefault="00A5736A" w:rsidP="00A5736A">
      <w:pPr>
        <w:tabs>
          <w:tab w:val="center" w:pos="4513"/>
        </w:tabs>
        <w:suppressAutoHyphens/>
        <w:rPr>
          <w:rFonts w:ascii="Arial" w:hAnsi="Arial" w:cs="Arial"/>
          <w:spacing w:val="-3"/>
          <w:lang w:val="en-GB"/>
        </w:rPr>
      </w:pPr>
    </w:p>
    <w:p w14:paraId="3FD5198B" w14:textId="10F5F339" w:rsidR="00BE47D0" w:rsidRPr="0057173C" w:rsidRDefault="00BE47D0" w:rsidP="00A5736A">
      <w:pPr>
        <w:tabs>
          <w:tab w:val="center" w:pos="4513"/>
        </w:tabs>
        <w:suppressAutoHyphens/>
        <w:rPr>
          <w:rFonts w:ascii="Arial" w:hAnsi="Arial" w:cs="Arial"/>
          <w:b/>
          <w:bCs/>
          <w:spacing w:val="-3"/>
          <w:lang w:val="en-GB"/>
        </w:rPr>
      </w:pPr>
      <w:r w:rsidRPr="0057173C">
        <w:rPr>
          <w:rFonts w:ascii="Arial" w:hAnsi="Arial" w:cs="Arial"/>
          <w:b/>
          <w:bCs/>
          <w:spacing w:val="-3"/>
          <w:lang w:val="en-GB"/>
        </w:rPr>
        <w:t>(Authorised for issue on</w:t>
      </w:r>
      <w:r w:rsidR="00C748CE" w:rsidRPr="0057173C">
        <w:rPr>
          <w:rFonts w:ascii="Arial" w:hAnsi="Arial" w:cs="Arial"/>
          <w:b/>
          <w:bCs/>
          <w:spacing w:val="-3"/>
          <w:lang w:val="en-GB"/>
        </w:rPr>
        <w:t xml:space="preserve"> 17 November 2025</w:t>
      </w:r>
      <w:r w:rsidRPr="0057173C">
        <w:rPr>
          <w:rFonts w:ascii="Arial" w:hAnsi="Arial" w:cs="Arial"/>
          <w:b/>
          <w:bCs/>
          <w:spacing w:val="-3"/>
          <w:lang w:val="en-GB"/>
        </w:rPr>
        <w:t>)</w:t>
      </w:r>
    </w:p>
    <w:sectPr w:rsidR="00BE47D0" w:rsidRPr="0057173C" w:rsidSect="0057173C">
      <w:footerReference w:type="default" r:id="rId15"/>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8776F" w14:textId="77777777" w:rsidR="00F22863" w:rsidRDefault="00F22863" w:rsidP="00313561">
      <w:r>
        <w:separator/>
      </w:r>
    </w:p>
  </w:endnote>
  <w:endnote w:type="continuationSeparator" w:id="0">
    <w:p w14:paraId="2C122F44" w14:textId="77777777" w:rsidR="00F22863" w:rsidRDefault="00F22863" w:rsidP="00313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6378" w14:textId="77CF6661" w:rsidR="00313561" w:rsidRPr="007D4AFE" w:rsidRDefault="00313561" w:rsidP="007D4AFE">
    <w:pPr>
      <w:pStyle w:val="Footer"/>
      <w:jc w:val="center"/>
      <w:rPr>
        <w:rFonts w:ascii="Arial" w:hAnsi="Arial" w:cs="Arial"/>
      </w:rPr>
    </w:pPr>
    <w:r w:rsidRPr="007D4AFE">
      <w:rPr>
        <w:rFonts w:ascii="Arial" w:hAnsi="Arial" w:cs="Arial"/>
      </w:rPr>
      <w:fldChar w:fldCharType="begin"/>
    </w:r>
    <w:r w:rsidRPr="007D4AFE">
      <w:rPr>
        <w:rFonts w:ascii="Arial" w:hAnsi="Arial" w:cs="Arial"/>
      </w:rPr>
      <w:instrText xml:space="preserve"> PAGE   \* MERGEFORMAT </w:instrText>
    </w:r>
    <w:r w:rsidRPr="007D4AFE">
      <w:rPr>
        <w:rFonts w:ascii="Arial" w:hAnsi="Arial" w:cs="Arial"/>
      </w:rPr>
      <w:fldChar w:fldCharType="separate"/>
    </w:r>
    <w:r w:rsidRPr="007D4AFE">
      <w:rPr>
        <w:rFonts w:ascii="Arial" w:hAnsi="Arial" w:cs="Arial"/>
        <w:noProof/>
      </w:rPr>
      <w:t>2</w:t>
    </w:r>
    <w:r w:rsidRPr="007D4AF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2E9F2" w14:textId="77777777" w:rsidR="00F22863" w:rsidRDefault="00F22863" w:rsidP="00313561">
      <w:r>
        <w:separator/>
      </w:r>
    </w:p>
  </w:footnote>
  <w:footnote w:type="continuationSeparator" w:id="0">
    <w:p w14:paraId="15405E20" w14:textId="77777777" w:rsidR="00F22863" w:rsidRDefault="00F22863" w:rsidP="003135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D7885"/>
    <w:multiLevelType w:val="hybridMultilevel"/>
    <w:tmpl w:val="C5E8E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6F546C"/>
    <w:multiLevelType w:val="hybridMultilevel"/>
    <w:tmpl w:val="F614E516"/>
    <w:lvl w:ilvl="0" w:tplc="070A4DBA">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D14264"/>
    <w:multiLevelType w:val="hybridMultilevel"/>
    <w:tmpl w:val="D236D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86666C"/>
    <w:multiLevelType w:val="hybridMultilevel"/>
    <w:tmpl w:val="E83E28FE"/>
    <w:lvl w:ilvl="0" w:tplc="CBECD07E">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15:restartNumberingAfterBreak="0">
    <w:nsid w:val="48F82809"/>
    <w:multiLevelType w:val="hybridMultilevel"/>
    <w:tmpl w:val="C470AA72"/>
    <w:lvl w:ilvl="0" w:tplc="932A1D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C238DF"/>
    <w:multiLevelType w:val="hybridMultilevel"/>
    <w:tmpl w:val="7108C1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6865713">
    <w:abstractNumId w:val="3"/>
  </w:num>
  <w:num w:numId="2" w16cid:durableId="856577122">
    <w:abstractNumId w:val="4"/>
  </w:num>
  <w:num w:numId="3" w16cid:durableId="155921246">
    <w:abstractNumId w:val="2"/>
  </w:num>
  <w:num w:numId="4" w16cid:durableId="1643535582">
    <w:abstractNumId w:val="0"/>
  </w:num>
  <w:num w:numId="5" w16cid:durableId="160052400">
    <w:abstractNumId w:val="5"/>
  </w:num>
  <w:num w:numId="6" w16cid:durableId="265776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7C8"/>
    <w:rsid w:val="00020FBB"/>
    <w:rsid w:val="000303A9"/>
    <w:rsid w:val="0005448F"/>
    <w:rsid w:val="000655C3"/>
    <w:rsid w:val="0008015A"/>
    <w:rsid w:val="000844C8"/>
    <w:rsid w:val="000A4FBF"/>
    <w:rsid w:val="000B0C69"/>
    <w:rsid w:val="000B1F62"/>
    <w:rsid w:val="000D616C"/>
    <w:rsid w:val="000D7E45"/>
    <w:rsid w:val="000F0B3D"/>
    <w:rsid w:val="000F18D1"/>
    <w:rsid w:val="00106DC0"/>
    <w:rsid w:val="001161A2"/>
    <w:rsid w:val="00122551"/>
    <w:rsid w:val="00133031"/>
    <w:rsid w:val="001B0897"/>
    <w:rsid w:val="001B6075"/>
    <w:rsid w:val="001E572A"/>
    <w:rsid w:val="001F464D"/>
    <w:rsid w:val="00213014"/>
    <w:rsid w:val="0021346B"/>
    <w:rsid w:val="00226374"/>
    <w:rsid w:val="00235454"/>
    <w:rsid w:val="0024006E"/>
    <w:rsid w:val="00241A58"/>
    <w:rsid w:val="00241D69"/>
    <w:rsid w:val="00245543"/>
    <w:rsid w:val="00250BA5"/>
    <w:rsid w:val="00276A3F"/>
    <w:rsid w:val="00294673"/>
    <w:rsid w:val="00295422"/>
    <w:rsid w:val="002A0814"/>
    <w:rsid w:val="002C48D7"/>
    <w:rsid w:val="002C7BD0"/>
    <w:rsid w:val="002E382A"/>
    <w:rsid w:val="002F1A82"/>
    <w:rsid w:val="002F3885"/>
    <w:rsid w:val="00313561"/>
    <w:rsid w:val="00332547"/>
    <w:rsid w:val="00335A4A"/>
    <w:rsid w:val="0034761F"/>
    <w:rsid w:val="00361A87"/>
    <w:rsid w:val="00370177"/>
    <w:rsid w:val="003708BF"/>
    <w:rsid w:val="003708C2"/>
    <w:rsid w:val="00373722"/>
    <w:rsid w:val="00383C92"/>
    <w:rsid w:val="00392875"/>
    <w:rsid w:val="003A0045"/>
    <w:rsid w:val="003B1E18"/>
    <w:rsid w:val="003D2562"/>
    <w:rsid w:val="003E0776"/>
    <w:rsid w:val="003E2ED7"/>
    <w:rsid w:val="003F5518"/>
    <w:rsid w:val="003F7778"/>
    <w:rsid w:val="004064F6"/>
    <w:rsid w:val="00421ABD"/>
    <w:rsid w:val="004377DB"/>
    <w:rsid w:val="00444AA7"/>
    <w:rsid w:val="004555AB"/>
    <w:rsid w:val="004715AA"/>
    <w:rsid w:val="00483B77"/>
    <w:rsid w:val="00484559"/>
    <w:rsid w:val="00486EE3"/>
    <w:rsid w:val="00490A99"/>
    <w:rsid w:val="004B0383"/>
    <w:rsid w:val="004C272A"/>
    <w:rsid w:val="004C537B"/>
    <w:rsid w:val="004E6BD4"/>
    <w:rsid w:val="004F0FD2"/>
    <w:rsid w:val="004F723F"/>
    <w:rsid w:val="005055BA"/>
    <w:rsid w:val="00507B1A"/>
    <w:rsid w:val="00507E26"/>
    <w:rsid w:val="005378D6"/>
    <w:rsid w:val="005407D5"/>
    <w:rsid w:val="005504B7"/>
    <w:rsid w:val="005609AA"/>
    <w:rsid w:val="00562DF8"/>
    <w:rsid w:val="0057173C"/>
    <w:rsid w:val="00581A65"/>
    <w:rsid w:val="005C5472"/>
    <w:rsid w:val="005C5B6C"/>
    <w:rsid w:val="006075FE"/>
    <w:rsid w:val="00621FBA"/>
    <w:rsid w:val="006442A8"/>
    <w:rsid w:val="00644E9A"/>
    <w:rsid w:val="00655D1B"/>
    <w:rsid w:val="00662D42"/>
    <w:rsid w:val="00676D8C"/>
    <w:rsid w:val="006C7722"/>
    <w:rsid w:val="006E3339"/>
    <w:rsid w:val="006E4CD9"/>
    <w:rsid w:val="006F22AC"/>
    <w:rsid w:val="007016DB"/>
    <w:rsid w:val="00710A5E"/>
    <w:rsid w:val="007314A2"/>
    <w:rsid w:val="00767F41"/>
    <w:rsid w:val="007703A1"/>
    <w:rsid w:val="00786239"/>
    <w:rsid w:val="007967A5"/>
    <w:rsid w:val="007A3B84"/>
    <w:rsid w:val="007A4550"/>
    <w:rsid w:val="007B554B"/>
    <w:rsid w:val="007C7AD9"/>
    <w:rsid w:val="007D3F38"/>
    <w:rsid w:val="007D4AFE"/>
    <w:rsid w:val="007E56E2"/>
    <w:rsid w:val="007F19D3"/>
    <w:rsid w:val="007F755B"/>
    <w:rsid w:val="008022F9"/>
    <w:rsid w:val="00803C50"/>
    <w:rsid w:val="00807A00"/>
    <w:rsid w:val="00811CD6"/>
    <w:rsid w:val="00813863"/>
    <w:rsid w:val="0083465E"/>
    <w:rsid w:val="00841163"/>
    <w:rsid w:val="008556FB"/>
    <w:rsid w:val="008566A6"/>
    <w:rsid w:val="0088794B"/>
    <w:rsid w:val="008A7FA1"/>
    <w:rsid w:val="008B226D"/>
    <w:rsid w:val="008B4347"/>
    <w:rsid w:val="008E781A"/>
    <w:rsid w:val="008F6BF8"/>
    <w:rsid w:val="0090613C"/>
    <w:rsid w:val="0091057E"/>
    <w:rsid w:val="00911041"/>
    <w:rsid w:val="00931A71"/>
    <w:rsid w:val="0095158C"/>
    <w:rsid w:val="009544D9"/>
    <w:rsid w:val="0098142F"/>
    <w:rsid w:val="009A62ED"/>
    <w:rsid w:val="009B385B"/>
    <w:rsid w:val="009B49F5"/>
    <w:rsid w:val="009D0AAF"/>
    <w:rsid w:val="009D59E3"/>
    <w:rsid w:val="009E594D"/>
    <w:rsid w:val="00A40E79"/>
    <w:rsid w:val="00A42BD9"/>
    <w:rsid w:val="00A46350"/>
    <w:rsid w:val="00A5736A"/>
    <w:rsid w:val="00A634F0"/>
    <w:rsid w:val="00A66ADB"/>
    <w:rsid w:val="00A70EBB"/>
    <w:rsid w:val="00A717E3"/>
    <w:rsid w:val="00A730DE"/>
    <w:rsid w:val="00AA6467"/>
    <w:rsid w:val="00AB411E"/>
    <w:rsid w:val="00AC3C44"/>
    <w:rsid w:val="00B14D96"/>
    <w:rsid w:val="00B325F3"/>
    <w:rsid w:val="00B40A9E"/>
    <w:rsid w:val="00B51CCC"/>
    <w:rsid w:val="00B645AC"/>
    <w:rsid w:val="00B719E8"/>
    <w:rsid w:val="00BB69F5"/>
    <w:rsid w:val="00BC0617"/>
    <w:rsid w:val="00BD2D6B"/>
    <w:rsid w:val="00BD46D0"/>
    <w:rsid w:val="00BD4847"/>
    <w:rsid w:val="00BD77F3"/>
    <w:rsid w:val="00BE47D0"/>
    <w:rsid w:val="00BF585B"/>
    <w:rsid w:val="00C040FB"/>
    <w:rsid w:val="00C3048F"/>
    <w:rsid w:val="00C41025"/>
    <w:rsid w:val="00C4651B"/>
    <w:rsid w:val="00C52333"/>
    <w:rsid w:val="00C67FD8"/>
    <w:rsid w:val="00C70F72"/>
    <w:rsid w:val="00C72B99"/>
    <w:rsid w:val="00C748CE"/>
    <w:rsid w:val="00C80B33"/>
    <w:rsid w:val="00CC483E"/>
    <w:rsid w:val="00CE17C8"/>
    <w:rsid w:val="00D01927"/>
    <w:rsid w:val="00D01BD7"/>
    <w:rsid w:val="00D04C6B"/>
    <w:rsid w:val="00D1719B"/>
    <w:rsid w:val="00D31EFE"/>
    <w:rsid w:val="00D46D31"/>
    <w:rsid w:val="00D709C4"/>
    <w:rsid w:val="00DC2503"/>
    <w:rsid w:val="00DE1D2E"/>
    <w:rsid w:val="00DE3936"/>
    <w:rsid w:val="00DF38B3"/>
    <w:rsid w:val="00E14552"/>
    <w:rsid w:val="00E2680F"/>
    <w:rsid w:val="00E327D4"/>
    <w:rsid w:val="00E35B54"/>
    <w:rsid w:val="00E61948"/>
    <w:rsid w:val="00E652CF"/>
    <w:rsid w:val="00E972C1"/>
    <w:rsid w:val="00EA43C9"/>
    <w:rsid w:val="00EA55CC"/>
    <w:rsid w:val="00EC35C6"/>
    <w:rsid w:val="00EC49EC"/>
    <w:rsid w:val="00EE4247"/>
    <w:rsid w:val="00EE56CA"/>
    <w:rsid w:val="00EF7601"/>
    <w:rsid w:val="00F22863"/>
    <w:rsid w:val="00F26ED9"/>
    <w:rsid w:val="00F50427"/>
    <w:rsid w:val="00F563D2"/>
    <w:rsid w:val="00F97E97"/>
    <w:rsid w:val="00FB4881"/>
    <w:rsid w:val="00FB588D"/>
    <w:rsid w:val="00FD00AE"/>
    <w:rsid w:val="00FD4A49"/>
    <w:rsid w:val="00FD5556"/>
    <w:rsid w:val="00FE41C5"/>
    <w:rsid w:val="00FF3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158D6C"/>
  <w15:chartTrackingRefBased/>
  <w15:docId w15:val="{EFD31A05-DD84-44A9-A875-BF78E251F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17C8"/>
    <w:pPr>
      <w:widowControl w:val="0"/>
      <w:autoSpaceDE w:val="0"/>
      <w:autoSpaceDN w:val="0"/>
      <w:adjustRightInd w:val="0"/>
    </w:pPr>
    <w:rPr>
      <w:rFonts w:ascii="Courier" w:hAnsi="Courie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E17C8"/>
    <w:pPr>
      <w:tabs>
        <w:tab w:val="center" w:pos="4513"/>
      </w:tabs>
      <w:suppressAutoHyphens/>
      <w:spacing w:line="240" w:lineRule="atLeast"/>
      <w:ind w:left="426" w:hanging="284"/>
      <w:jc w:val="both"/>
    </w:pPr>
    <w:rPr>
      <w:rFonts w:ascii="Times New Roman" w:hAnsi="Times New Roman"/>
      <w:spacing w:val="-3"/>
      <w:lang w:val="en-GB"/>
    </w:rPr>
  </w:style>
  <w:style w:type="paragraph" w:styleId="Header">
    <w:name w:val="header"/>
    <w:basedOn w:val="Normal"/>
    <w:link w:val="HeaderChar"/>
    <w:rsid w:val="00313561"/>
    <w:pPr>
      <w:tabs>
        <w:tab w:val="center" w:pos="4513"/>
        <w:tab w:val="right" w:pos="9026"/>
      </w:tabs>
    </w:pPr>
  </w:style>
  <w:style w:type="character" w:customStyle="1" w:styleId="HeaderChar">
    <w:name w:val="Header Char"/>
    <w:link w:val="Header"/>
    <w:rsid w:val="00313561"/>
    <w:rPr>
      <w:rFonts w:ascii="Courier" w:hAnsi="Courier"/>
      <w:sz w:val="24"/>
      <w:szCs w:val="24"/>
      <w:lang w:val="en-US" w:eastAsia="en-US"/>
    </w:rPr>
  </w:style>
  <w:style w:type="paragraph" w:styleId="Footer">
    <w:name w:val="footer"/>
    <w:basedOn w:val="Normal"/>
    <w:link w:val="FooterChar"/>
    <w:uiPriority w:val="99"/>
    <w:rsid w:val="00313561"/>
    <w:pPr>
      <w:tabs>
        <w:tab w:val="center" w:pos="4513"/>
        <w:tab w:val="right" w:pos="9026"/>
      </w:tabs>
    </w:pPr>
  </w:style>
  <w:style w:type="character" w:customStyle="1" w:styleId="FooterChar">
    <w:name w:val="Footer Char"/>
    <w:link w:val="Footer"/>
    <w:uiPriority w:val="99"/>
    <w:rsid w:val="00313561"/>
    <w:rPr>
      <w:rFonts w:ascii="Courier" w:hAnsi="Courier"/>
      <w:sz w:val="24"/>
      <w:szCs w:val="24"/>
      <w:lang w:val="en-US" w:eastAsia="en-US"/>
    </w:rPr>
  </w:style>
  <w:style w:type="paragraph" w:styleId="ListParagraph">
    <w:name w:val="List Paragraph"/>
    <w:basedOn w:val="Normal"/>
    <w:uiPriority w:val="34"/>
    <w:qFormat/>
    <w:rsid w:val="00313561"/>
    <w:pPr>
      <w:ind w:left="720"/>
    </w:pPr>
  </w:style>
  <w:style w:type="paragraph" w:styleId="Revision">
    <w:name w:val="Revision"/>
    <w:hidden/>
    <w:uiPriority w:val="99"/>
    <w:semiHidden/>
    <w:rsid w:val="00BD4847"/>
    <w:rPr>
      <w:rFonts w:ascii="Courier" w:hAnsi="Courier"/>
      <w:sz w:val="24"/>
      <w:szCs w:val="24"/>
      <w:lang w:val="en-US" w:eastAsia="en-US"/>
    </w:rPr>
  </w:style>
  <w:style w:type="character" w:styleId="CommentReference">
    <w:name w:val="annotation reference"/>
    <w:rsid w:val="00A70EBB"/>
    <w:rPr>
      <w:sz w:val="16"/>
      <w:szCs w:val="16"/>
    </w:rPr>
  </w:style>
  <w:style w:type="paragraph" w:styleId="CommentText">
    <w:name w:val="annotation text"/>
    <w:basedOn w:val="Normal"/>
    <w:link w:val="CommentTextChar"/>
    <w:rsid w:val="00A70EBB"/>
    <w:rPr>
      <w:sz w:val="20"/>
      <w:szCs w:val="20"/>
    </w:rPr>
  </w:style>
  <w:style w:type="character" w:customStyle="1" w:styleId="CommentTextChar">
    <w:name w:val="Comment Text Char"/>
    <w:link w:val="CommentText"/>
    <w:rsid w:val="00A70EBB"/>
    <w:rPr>
      <w:rFonts w:ascii="Courier" w:hAnsi="Courier"/>
      <w:lang w:val="en-US" w:eastAsia="en-US"/>
    </w:rPr>
  </w:style>
  <w:style w:type="paragraph" w:styleId="CommentSubject">
    <w:name w:val="annotation subject"/>
    <w:basedOn w:val="CommentText"/>
    <w:next w:val="CommentText"/>
    <w:link w:val="CommentSubjectChar"/>
    <w:rsid w:val="00A70EBB"/>
    <w:rPr>
      <w:b/>
      <w:bCs/>
    </w:rPr>
  </w:style>
  <w:style w:type="character" w:customStyle="1" w:styleId="CommentSubjectChar">
    <w:name w:val="Comment Subject Char"/>
    <w:link w:val="CommentSubject"/>
    <w:rsid w:val="00A70EBB"/>
    <w:rPr>
      <w:rFonts w:ascii="Courier" w:hAnsi="Courier"/>
      <w:b/>
      <w:bCs/>
      <w:lang w:val="en-US" w:eastAsia="en-US"/>
    </w:rPr>
  </w:style>
  <w:style w:type="character" w:styleId="Hyperlink">
    <w:name w:val="Hyperlink"/>
    <w:rsid w:val="00A634F0"/>
    <w:rPr>
      <w:color w:val="467886"/>
      <w:u w:val="single"/>
    </w:rPr>
  </w:style>
  <w:style w:type="character" w:styleId="UnresolvedMention">
    <w:name w:val="Unresolved Mention"/>
    <w:uiPriority w:val="99"/>
    <w:semiHidden/>
    <w:unhideWhenUsed/>
    <w:rsid w:val="00A634F0"/>
    <w:rPr>
      <w:color w:val="605E5C"/>
      <w:shd w:val="clear" w:color="auto" w:fill="E1DFDD"/>
    </w:rPr>
  </w:style>
  <w:style w:type="character" w:styleId="FollowedHyperlink">
    <w:name w:val="FollowedHyperlink"/>
    <w:basedOn w:val="DefaultParagraphFont"/>
    <w:rsid w:val="0029467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812034">
      <w:bodyDiv w:val="1"/>
      <w:marLeft w:val="0"/>
      <w:marRight w:val="0"/>
      <w:marTop w:val="0"/>
      <w:marBottom w:val="0"/>
      <w:divBdr>
        <w:top w:val="none" w:sz="0" w:space="0" w:color="auto"/>
        <w:left w:val="none" w:sz="0" w:space="0" w:color="auto"/>
        <w:bottom w:val="none" w:sz="0" w:space="0" w:color="auto"/>
        <w:right w:val="none" w:sz="0" w:space="0" w:color="auto"/>
      </w:divBdr>
    </w:div>
    <w:div w:id="1421294581">
      <w:bodyDiv w:val="1"/>
      <w:marLeft w:val="0"/>
      <w:marRight w:val="0"/>
      <w:marTop w:val="0"/>
      <w:marBottom w:val="0"/>
      <w:divBdr>
        <w:top w:val="none" w:sz="0" w:space="0" w:color="auto"/>
        <w:left w:val="none" w:sz="0" w:space="0" w:color="auto"/>
        <w:bottom w:val="none" w:sz="0" w:space="0" w:color="auto"/>
        <w:right w:val="none" w:sz="0" w:space="0" w:color="auto"/>
      </w:divBdr>
    </w:div>
    <w:div w:id="1867060469">
      <w:bodyDiv w:val="1"/>
      <w:marLeft w:val="0"/>
      <w:marRight w:val="0"/>
      <w:marTop w:val="0"/>
      <w:marBottom w:val="0"/>
      <w:divBdr>
        <w:top w:val="none" w:sz="0" w:space="0" w:color="auto"/>
        <w:left w:val="none" w:sz="0" w:space="0" w:color="auto"/>
        <w:bottom w:val="none" w:sz="0" w:space="0" w:color="auto"/>
        <w:right w:val="none" w:sz="0" w:space="0" w:color="auto"/>
      </w:divBdr>
      <w:divsChild>
        <w:div w:id="894779536">
          <w:marLeft w:val="0"/>
          <w:marRight w:val="0"/>
          <w:marTop w:val="0"/>
          <w:marBottom w:val="0"/>
          <w:divBdr>
            <w:top w:val="none" w:sz="0" w:space="0" w:color="auto"/>
            <w:left w:val="none" w:sz="0" w:space="0" w:color="auto"/>
            <w:bottom w:val="none" w:sz="0" w:space="0" w:color="auto"/>
            <w:right w:val="none" w:sz="0" w:space="0" w:color="auto"/>
          </w:divBdr>
        </w:div>
        <w:div w:id="1785954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estlaw.com/Document/I79AC9CE08E7711EB88C9CE4F51C7300E/View/FullText.html?originationContext=document&amp;transitionType=DocumentItem&amp;ppcid=351762da44e141fd8b020731a72c53e9&amp;contextData=(sc.DocLink)"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uk.westlaw.com/Document/I64795DE08E7711EB88C9CE4F51C7300E/View/FullText.html?originationContext=document&amp;transitionType=DocumentItem&amp;ppcid=351762da44e141fd8b020731a72c53e9&amp;contextData=(sc.DocLink)" TargetMode="Externa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k.westlaw.com/Document/IBE5FB2B0D00711E6BBDB999E0165D9AD/View/FullText.html?originationContext=document&amp;transitionType=DocumentItem&amp;ppcid=351762da44e141fd8b020731a72c53e9&amp;contextData=(sc.DocLin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uk.westlaw.com/Document/I0ADEFE60D35411E893FED4723240DA23/View/FullText.html?originationContext=document&amp;transitionType=DocumentItem&amp;ppcid=351762da44e141fd8b020731a72c53e9&amp;contextData=(sc.DocLink)" TargetMode="External"/><Relationship Id="rId4" Type="http://schemas.openxmlformats.org/officeDocument/2006/relationships/webSettings" Target="webSettings.xml"/><Relationship Id="rId9" Type="http://schemas.openxmlformats.org/officeDocument/2006/relationships/hyperlink" Target="https://uk.westlaw.com/Document/IDC863FA040C611EB875CDE752692BAEF/View/FullText.html?originationContext=document&amp;transitionType=DocumentItem&amp;ppcid=351762da44e141fd8b020731a72c53e9&amp;contextData=(sc.DocLink)"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1657</Words>
  <Characters>8560</Characters>
  <Application>Microsoft Office Word</Application>
  <DocSecurity>0</DocSecurity>
  <Lines>224</Lines>
  <Paragraphs>44</Paragraphs>
  <ScaleCrop>false</ScaleCrop>
  <HeadingPairs>
    <vt:vector size="2" baseType="variant">
      <vt:variant>
        <vt:lpstr>Title</vt:lpstr>
      </vt:variant>
      <vt:variant>
        <vt:i4>1</vt:i4>
      </vt:variant>
    </vt:vector>
  </HeadingPairs>
  <TitlesOfParts>
    <vt:vector size="1" baseType="lpstr">
      <vt:lpstr>C1/24-25(PC)</vt:lpstr>
    </vt:vector>
  </TitlesOfParts>
  <Company/>
  <LinksUpToDate>false</LinksUpToDate>
  <CharactersWithSpaces>10226</CharactersWithSpaces>
  <SharedDoc>false</SharedDoc>
  <HLinks>
    <vt:vector size="42" baseType="variant">
      <vt:variant>
        <vt:i4>4456460</vt:i4>
      </vt:variant>
      <vt:variant>
        <vt:i4>18</vt:i4>
      </vt:variant>
      <vt:variant>
        <vt:i4>0</vt:i4>
      </vt:variant>
      <vt:variant>
        <vt:i4>5</vt:i4>
      </vt:variant>
      <vt:variant>
        <vt:lpwstr>https://uk.westlaw.com/Document/IBE5FB2B0D00711E6BBDB999E0165D9AD/View/FullText.html?originationContext=document&amp;transitionType=DocumentItem&amp;ppcid=351762da44e141fd8b020731a72c53e9&amp;contextData=(sc.DocLink)</vt:lpwstr>
      </vt:variant>
      <vt:variant>
        <vt:lpwstr/>
      </vt:variant>
      <vt:variant>
        <vt:i4>4849751</vt:i4>
      </vt:variant>
      <vt:variant>
        <vt:i4>15</vt:i4>
      </vt:variant>
      <vt:variant>
        <vt:i4>0</vt:i4>
      </vt:variant>
      <vt:variant>
        <vt:i4>5</vt:i4>
      </vt:variant>
      <vt:variant>
        <vt:lpwstr>https://uk.westlaw.com/Document/I0ADEFE60D35411E893FED4723240DA23/View/FullText.html?originationContext=document&amp;transitionType=DocumentItem&amp;ppcid=351762da44e141fd8b020731a72c53e9&amp;contextData=(sc.DocLink)</vt:lpwstr>
      </vt:variant>
      <vt:variant>
        <vt:lpwstr/>
      </vt:variant>
      <vt:variant>
        <vt:i4>4784217</vt:i4>
      </vt:variant>
      <vt:variant>
        <vt:i4>12</vt:i4>
      </vt:variant>
      <vt:variant>
        <vt:i4>0</vt:i4>
      </vt:variant>
      <vt:variant>
        <vt:i4>5</vt:i4>
      </vt:variant>
      <vt:variant>
        <vt:lpwstr>https://uk.westlaw.com/Document/IDC863FA040C611EB875CDE752692BAEF/View/FullText.html?originationContext=document&amp;transitionType=DocumentItem&amp;ppcid=351762da44e141fd8b020731a72c53e9&amp;contextData=(sc.DocLink)</vt:lpwstr>
      </vt:variant>
      <vt:variant>
        <vt:lpwstr/>
      </vt:variant>
      <vt:variant>
        <vt:i4>4849747</vt:i4>
      </vt:variant>
      <vt:variant>
        <vt:i4>9</vt:i4>
      </vt:variant>
      <vt:variant>
        <vt:i4>0</vt:i4>
      </vt:variant>
      <vt:variant>
        <vt:i4>5</vt:i4>
      </vt:variant>
      <vt:variant>
        <vt:lpwstr>https://uk.westlaw.com/Document/I18ABDE90B0EC11ECBA9E8F20DAC91FE9/View/FullText.html?originationContext=document&amp;transitionType=DocumentItem&amp;ppcid=351762da44e141fd8b020731a72c53e9&amp;contextData=(sc.DocLink)</vt:lpwstr>
      </vt:variant>
      <vt:variant>
        <vt:lpwstr/>
      </vt:variant>
      <vt:variant>
        <vt:i4>1572952</vt:i4>
      </vt:variant>
      <vt:variant>
        <vt:i4>6</vt:i4>
      </vt:variant>
      <vt:variant>
        <vt:i4>0</vt:i4>
      </vt:variant>
      <vt:variant>
        <vt:i4>5</vt:i4>
      </vt:variant>
      <vt:variant>
        <vt:lpwstr>https://uk.westlaw.com/Document/I7095A5C08E7711EB88C9CE4F51C7300E/View/FullText.html?originationContext=document&amp;transitionType=DocumentItem&amp;ppcid=351762da44e141fd8b020731a72c53e9&amp;contextData=(sc.DocLink)</vt:lpwstr>
      </vt:variant>
      <vt:variant>
        <vt:lpwstr/>
      </vt:variant>
      <vt:variant>
        <vt:i4>1966161</vt:i4>
      </vt:variant>
      <vt:variant>
        <vt:i4>3</vt:i4>
      </vt:variant>
      <vt:variant>
        <vt:i4>0</vt:i4>
      </vt:variant>
      <vt:variant>
        <vt:i4>5</vt:i4>
      </vt:variant>
      <vt:variant>
        <vt:lpwstr>https://uk.westlaw.com/Document/I79AC9CE08E7711EB88C9CE4F51C7300E/View/FullText.html?originationContext=document&amp;transitionType=DocumentItem&amp;ppcid=351762da44e141fd8b020731a72c53e9&amp;contextData=(sc.DocLink)</vt:lpwstr>
      </vt:variant>
      <vt:variant>
        <vt:lpwstr/>
      </vt:variant>
      <vt:variant>
        <vt:i4>4521985</vt:i4>
      </vt:variant>
      <vt:variant>
        <vt:i4>0</vt:i4>
      </vt:variant>
      <vt:variant>
        <vt:i4>0</vt:i4>
      </vt:variant>
      <vt:variant>
        <vt:i4>5</vt:i4>
      </vt:variant>
      <vt:variant>
        <vt:lpwstr>https://uk.westlaw.com/Document/I64795DE08E7711EB88C9CE4F51C7300E/View/FullText.html?originationContext=document&amp;transitionType=DocumentItem&amp;ppcid=351762da44e141fd8b020731a72c53e9&amp;contextData=(sc.DocLink)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C1/24-25(PC)</dc:title>
  <dc:subject/>
  <dc:creator>Bowman, Marie</dc:creator>
  <cp:keywords/>
  <dc:description/>
  <cp:lastModifiedBy>Bowman, Marie</cp:lastModifiedBy>
  <cp:revision>2</cp:revision>
  <cp:lastPrinted>2025-11-05T10:24:00Z</cp:lastPrinted>
  <dcterms:created xsi:type="dcterms:W3CDTF">2025-11-21T09:14:00Z</dcterms:created>
  <dcterms:modified xsi:type="dcterms:W3CDTF">2025-11-21T09:14:00Z</dcterms:modified>
</cp:coreProperties>
</file>