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6F98F" w14:textId="77777777" w:rsidR="00E9001F" w:rsidRPr="00E20185" w:rsidRDefault="00E9001F" w:rsidP="00E20185">
      <w:pPr>
        <w:tabs>
          <w:tab w:val="right" w:pos="8931"/>
        </w:tabs>
        <w:spacing w:after="0" w:line="240" w:lineRule="auto"/>
        <w:jc w:val="both"/>
        <w:rPr>
          <w:rFonts w:ascii="Arial" w:hAnsi="Arial" w:cs="Arial"/>
          <w:bCs/>
          <w:sz w:val="24"/>
          <w:szCs w:val="24"/>
        </w:rPr>
      </w:pPr>
      <w:r w:rsidRPr="00E20185">
        <w:rPr>
          <w:rFonts w:ascii="Arial" w:hAnsi="Arial" w:cs="Arial"/>
          <w:b/>
          <w:sz w:val="24"/>
          <w:szCs w:val="24"/>
        </w:rPr>
        <w:tab/>
      </w:r>
      <w:r w:rsidRPr="00E20185">
        <w:rPr>
          <w:rFonts w:ascii="Arial" w:hAnsi="Arial" w:cs="Arial"/>
          <w:bCs/>
          <w:sz w:val="24"/>
          <w:szCs w:val="24"/>
        </w:rPr>
        <w:t>TP -v- Department for Communities (PIP) [2024] NICom28</w:t>
      </w:r>
    </w:p>
    <w:p w14:paraId="7380CE18" w14:textId="77777777" w:rsidR="00E9001F" w:rsidRPr="00E20185" w:rsidRDefault="00E9001F" w:rsidP="00E20185">
      <w:pPr>
        <w:tabs>
          <w:tab w:val="right" w:pos="8931"/>
        </w:tabs>
        <w:spacing w:after="0" w:line="240" w:lineRule="auto"/>
        <w:jc w:val="both"/>
        <w:rPr>
          <w:rFonts w:ascii="Arial" w:hAnsi="Arial" w:cs="Arial"/>
          <w:bCs/>
          <w:sz w:val="24"/>
          <w:szCs w:val="24"/>
        </w:rPr>
      </w:pPr>
    </w:p>
    <w:p w14:paraId="5F8F3609" w14:textId="4C418092" w:rsidR="00B80AA7" w:rsidRPr="00E20185" w:rsidRDefault="00E9001F" w:rsidP="00E20185">
      <w:pPr>
        <w:tabs>
          <w:tab w:val="right" w:pos="8931"/>
        </w:tabs>
        <w:spacing w:after="0" w:line="240" w:lineRule="auto"/>
        <w:jc w:val="both"/>
        <w:rPr>
          <w:rFonts w:ascii="Arial" w:hAnsi="Arial" w:cs="Arial"/>
          <w:bCs/>
          <w:sz w:val="24"/>
          <w:szCs w:val="24"/>
        </w:rPr>
      </w:pPr>
      <w:r w:rsidRPr="00E20185">
        <w:rPr>
          <w:rFonts w:ascii="Arial" w:hAnsi="Arial" w:cs="Arial"/>
          <w:bCs/>
          <w:sz w:val="24"/>
          <w:szCs w:val="24"/>
        </w:rPr>
        <w:tab/>
      </w:r>
      <w:r w:rsidR="00B80AA7" w:rsidRPr="00E20185">
        <w:rPr>
          <w:rFonts w:ascii="Arial" w:hAnsi="Arial" w:cs="Arial"/>
          <w:bCs/>
          <w:sz w:val="24"/>
          <w:szCs w:val="24"/>
        </w:rPr>
        <w:t xml:space="preserve">Decision No: </w:t>
      </w:r>
      <w:r w:rsidR="00E20185">
        <w:rPr>
          <w:rFonts w:ascii="Arial" w:hAnsi="Arial" w:cs="Arial"/>
          <w:bCs/>
          <w:sz w:val="24"/>
          <w:szCs w:val="24"/>
        </w:rPr>
        <w:t xml:space="preserve"> </w:t>
      </w:r>
      <w:r w:rsidRPr="00E20185">
        <w:rPr>
          <w:rFonts w:ascii="Arial" w:hAnsi="Arial" w:cs="Arial"/>
          <w:bCs/>
          <w:sz w:val="24"/>
          <w:szCs w:val="24"/>
        </w:rPr>
        <w:t>C8/24-25</w:t>
      </w:r>
      <w:r w:rsidR="00B80AA7" w:rsidRPr="00E20185">
        <w:rPr>
          <w:rFonts w:ascii="Arial" w:hAnsi="Arial" w:cs="Arial"/>
          <w:bCs/>
          <w:sz w:val="24"/>
          <w:szCs w:val="24"/>
        </w:rPr>
        <w:t>(PIP)</w:t>
      </w:r>
    </w:p>
    <w:p w14:paraId="4676CC6E" w14:textId="5749D1EB" w:rsidR="00B80AA7" w:rsidRPr="00E20185" w:rsidRDefault="00B80AA7" w:rsidP="00E20185">
      <w:pPr>
        <w:spacing w:after="0" w:line="240" w:lineRule="auto"/>
        <w:jc w:val="both"/>
        <w:rPr>
          <w:rFonts w:ascii="Arial" w:hAnsi="Arial" w:cs="Arial"/>
          <w:bCs/>
          <w:sz w:val="24"/>
          <w:szCs w:val="24"/>
        </w:rPr>
      </w:pPr>
    </w:p>
    <w:p w14:paraId="568D64C3" w14:textId="46071510" w:rsidR="00B80AA7" w:rsidRPr="00E20185" w:rsidRDefault="00B80AA7" w:rsidP="00E20185">
      <w:pPr>
        <w:spacing w:after="0" w:line="240" w:lineRule="auto"/>
        <w:jc w:val="both"/>
        <w:rPr>
          <w:rFonts w:ascii="Arial" w:hAnsi="Arial" w:cs="Arial"/>
          <w:sz w:val="24"/>
          <w:szCs w:val="24"/>
        </w:rPr>
      </w:pPr>
    </w:p>
    <w:p w14:paraId="095F6DA7" w14:textId="77777777" w:rsidR="00B80AA7" w:rsidRPr="00E20185" w:rsidRDefault="00B80AA7" w:rsidP="00E20185">
      <w:pPr>
        <w:spacing w:after="0" w:line="240" w:lineRule="auto"/>
        <w:jc w:val="both"/>
        <w:rPr>
          <w:rFonts w:ascii="Arial" w:hAnsi="Arial" w:cs="Arial"/>
          <w:sz w:val="24"/>
          <w:szCs w:val="24"/>
        </w:rPr>
      </w:pPr>
    </w:p>
    <w:p w14:paraId="2CFE46DB" w14:textId="77777777" w:rsidR="00B80AA7" w:rsidRPr="00E20185" w:rsidRDefault="00B80AA7" w:rsidP="00E20185">
      <w:pPr>
        <w:spacing w:after="0" w:line="240" w:lineRule="auto"/>
        <w:jc w:val="both"/>
        <w:rPr>
          <w:rFonts w:ascii="Arial" w:hAnsi="Arial" w:cs="Arial"/>
          <w:sz w:val="24"/>
          <w:szCs w:val="24"/>
        </w:rPr>
      </w:pPr>
    </w:p>
    <w:p w14:paraId="31F11953" w14:textId="77777777" w:rsidR="00B80AA7" w:rsidRPr="00E20185" w:rsidRDefault="00B80AA7" w:rsidP="00E20185">
      <w:pPr>
        <w:suppressAutoHyphens/>
        <w:spacing w:after="0" w:line="240" w:lineRule="auto"/>
        <w:jc w:val="center"/>
        <w:rPr>
          <w:rFonts w:ascii="Arial" w:hAnsi="Arial" w:cs="Arial"/>
          <w:b/>
          <w:bCs/>
          <w:spacing w:val="-3"/>
          <w:sz w:val="24"/>
          <w:szCs w:val="24"/>
        </w:rPr>
      </w:pPr>
      <w:r w:rsidRPr="00E20185">
        <w:rPr>
          <w:rFonts w:ascii="Arial" w:hAnsi="Arial" w:cs="Arial"/>
          <w:b/>
          <w:bCs/>
          <w:spacing w:val="-3"/>
          <w:sz w:val="24"/>
          <w:szCs w:val="24"/>
        </w:rPr>
        <w:t>SOCIAL SECURITY ADMINISTRATION (NORTHERN IRELAND) ACT 1992</w:t>
      </w:r>
    </w:p>
    <w:p w14:paraId="09654FDC" w14:textId="77777777" w:rsidR="00B80AA7" w:rsidRDefault="00B80AA7" w:rsidP="00E20185">
      <w:pPr>
        <w:suppressAutoHyphens/>
        <w:spacing w:after="0" w:line="240" w:lineRule="auto"/>
        <w:jc w:val="center"/>
        <w:rPr>
          <w:rFonts w:ascii="Arial" w:hAnsi="Arial" w:cs="Arial"/>
          <w:b/>
          <w:bCs/>
          <w:spacing w:val="-3"/>
          <w:sz w:val="24"/>
          <w:szCs w:val="24"/>
        </w:rPr>
      </w:pPr>
    </w:p>
    <w:p w14:paraId="152E2BED" w14:textId="515517DF" w:rsidR="00E20185" w:rsidRPr="00E20185" w:rsidRDefault="00E20185" w:rsidP="00E20185">
      <w:pPr>
        <w:suppressAutoHyphens/>
        <w:spacing w:after="0" w:line="240" w:lineRule="auto"/>
        <w:jc w:val="center"/>
        <w:rPr>
          <w:rFonts w:ascii="Arial" w:hAnsi="Arial" w:cs="Arial"/>
          <w:b/>
          <w:bCs/>
          <w:spacing w:val="-3"/>
          <w:sz w:val="24"/>
          <w:szCs w:val="24"/>
        </w:rPr>
      </w:pPr>
      <w:r>
        <w:rPr>
          <w:rFonts w:ascii="Arial" w:hAnsi="Arial" w:cs="Arial"/>
          <w:b/>
          <w:bCs/>
          <w:spacing w:val="-3"/>
          <w:sz w:val="24"/>
          <w:szCs w:val="24"/>
        </w:rPr>
        <w:t>SOCIAL SECURITY (NORTHERN IRELAND) ORDER 1998</w:t>
      </w:r>
    </w:p>
    <w:p w14:paraId="5F801A63" w14:textId="77777777" w:rsidR="00B80AA7" w:rsidRDefault="00B80AA7" w:rsidP="00E20185">
      <w:pPr>
        <w:tabs>
          <w:tab w:val="center" w:pos="4513"/>
        </w:tabs>
        <w:suppressAutoHyphens/>
        <w:spacing w:after="0" w:line="240" w:lineRule="auto"/>
        <w:jc w:val="center"/>
        <w:rPr>
          <w:rFonts w:ascii="Arial" w:hAnsi="Arial" w:cs="Arial"/>
          <w:spacing w:val="-3"/>
          <w:sz w:val="24"/>
          <w:szCs w:val="24"/>
        </w:rPr>
      </w:pPr>
    </w:p>
    <w:p w14:paraId="21CDB69B" w14:textId="77777777" w:rsidR="00E20185" w:rsidRPr="00E20185" w:rsidRDefault="00E20185" w:rsidP="00E20185">
      <w:pPr>
        <w:tabs>
          <w:tab w:val="center" w:pos="4513"/>
        </w:tabs>
        <w:suppressAutoHyphens/>
        <w:spacing w:after="0" w:line="240" w:lineRule="auto"/>
        <w:jc w:val="center"/>
        <w:rPr>
          <w:rFonts w:ascii="Arial" w:hAnsi="Arial" w:cs="Arial"/>
          <w:spacing w:val="-3"/>
          <w:sz w:val="24"/>
          <w:szCs w:val="24"/>
        </w:rPr>
      </w:pPr>
    </w:p>
    <w:p w14:paraId="50813D9A" w14:textId="77777777" w:rsidR="00B80AA7" w:rsidRPr="00E20185" w:rsidRDefault="00E86922" w:rsidP="00E20185">
      <w:pPr>
        <w:tabs>
          <w:tab w:val="center" w:pos="4513"/>
        </w:tabs>
        <w:suppressAutoHyphens/>
        <w:spacing w:after="0" w:line="240" w:lineRule="auto"/>
        <w:jc w:val="center"/>
        <w:rPr>
          <w:rFonts w:ascii="Arial" w:hAnsi="Arial" w:cs="Arial"/>
          <w:b/>
          <w:bCs/>
          <w:spacing w:val="-3"/>
          <w:sz w:val="24"/>
          <w:szCs w:val="24"/>
          <w:u w:val="single"/>
        </w:rPr>
      </w:pPr>
      <w:r w:rsidRPr="00E20185">
        <w:rPr>
          <w:rFonts w:ascii="Arial" w:hAnsi="Arial" w:cs="Arial"/>
          <w:b/>
          <w:bCs/>
          <w:spacing w:val="-3"/>
          <w:sz w:val="24"/>
          <w:szCs w:val="24"/>
          <w:u w:val="single"/>
        </w:rPr>
        <w:t>PERSONAL INDEPENDENCE PAYMENT</w:t>
      </w:r>
    </w:p>
    <w:p w14:paraId="09251D88" w14:textId="77777777" w:rsidR="00B80AA7" w:rsidRDefault="00B80AA7" w:rsidP="00E20185">
      <w:pPr>
        <w:tabs>
          <w:tab w:val="left" w:pos="-720"/>
        </w:tabs>
        <w:suppressAutoHyphens/>
        <w:spacing w:after="0" w:line="240" w:lineRule="auto"/>
        <w:jc w:val="center"/>
        <w:rPr>
          <w:rFonts w:ascii="Arial" w:hAnsi="Arial" w:cs="Arial"/>
          <w:spacing w:val="-3"/>
          <w:sz w:val="24"/>
          <w:szCs w:val="24"/>
        </w:rPr>
      </w:pPr>
    </w:p>
    <w:p w14:paraId="4B9F6A75" w14:textId="77777777" w:rsidR="00E20185" w:rsidRPr="00E20185" w:rsidRDefault="00E20185" w:rsidP="00E20185">
      <w:pPr>
        <w:tabs>
          <w:tab w:val="left" w:pos="-720"/>
        </w:tabs>
        <w:suppressAutoHyphens/>
        <w:spacing w:after="0" w:line="240" w:lineRule="auto"/>
        <w:jc w:val="center"/>
        <w:rPr>
          <w:rFonts w:ascii="Arial" w:hAnsi="Arial" w:cs="Arial"/>
          <w:spacing w:val="-3"/>
          <w:sz w:val="24"/>
          <w:szCs w:val="24"/>
        </w:rPr>
      </w:pPr>
    </w:p>
    <w:p w14:paraId="6FEAA30D" w14:textId="77777777" w:rsidR="00B80AA7" w:rsidRPr="00E20185" w:rsidRDefault="00B80AA7" w:rsidP="00E20185">
      <w:pPr>
        <w:tabs>
          <w:tab w:val="center" w:pos="4513"/>
        </w:tabs>
        <w:suppressAutoHyphens/>
        <w:spacing w:after="0" w:line="240" w:lineRule="auto"/>
        <w:jc w:val="center"/>
        <w:rPr>
          <w:rFonts w:ascii="Arial" w:hAnsi="Arial" w:cs="Arial"/>
          <w:spacing w:val="-3"/>
          <w:sz w:val="24"/>
          <w:szCs w:val="24"/>
        </w:rPr>
      </w:pPr>
      <w:r w:rsidRPr="00E20185">
        <w:rPr>
          <w:rFonts w:ascii="Arial" w:hAnsi="Arial" w:cs="Arial"/>
          <w:spacing w:val="-3"/>
          <w:sz w:val="24"/>
          <w:szCs w:val="24"/>
        </w:rPr>
        <w:t>Application to a Social Security Commissioner</w:t>
      </w:r>
    </w:p>
    <w:p w14:paraId="177E0FDA" w14:textId="77777777" w:rsidR="00B80AA7" w:rsidRPr="00E20185" w:rsidRDefault="00B80AA7" w:rsidP="00E20185">
      <w:pPr>
        <w:tabs>
          <w:tab w:val="center" w:pos="4513"/>
        </w:tabs>
        <w:suppressAutoHyphens/>
        <w:spacing w:after="0" w:line="240" w:lineRule="auto"/>
        <w:jc w:val="center"/>
        <w:rPr>
          <w:rFonts w:ascii="Arial" w:hAnsi="Arial" w:cs="Arial"/>
          <w:spacing w:val="-3"/>
          <w:sz w:val="24"/>
          <w:szCs w:val="24"/>
        </w:rPr>
      </w:pPr>
      <w:r w:rsidRPr="00E20185">
        <w:rPr>
          <w:rFonts w:ascii="Arial" w:hAnsi="Arial" w:cs="Arial"/>
          <w:spacing w:val="-3"/>
          <w:sz w:val="24"/>
          <w:szCs w:val="24"/>
        </w:rPr>
        <w:t>for leave to appeal on a question of law from the decision of a Tribunal</w:t>
      </w:r>
    </w:p>
    <w:p w14:paraId="5A32E7D9" w14:textId="77777777" w:rsidR="00B80AA7" w:rsidRPr="00E20185" w:rsidRDefault="00B80AA7" w:rsidP="00E20185">
      <w:pPr>
        <w:tabs>
          <w:tab w:val="center" w:pos="4513"/>
        </w:tabs>
        <w:suppressAutoHyphens/>
        <w:spacing w:after="0" w:line="240" w:lineRule="auto"/>
        <w:jc w:val="center"/>
        <w:rPr>
          <w:rFonts w:ascii="Arial" w:hAnsi="Arial" w:cs="Arial"/>
          <w:spacing w:val="-3"/>
          <w:sz w:val="24"/>
          <w:szCs w:val="24"/>
        </w:rPr>
      </w:pPr>
      <w:r w:rsidRPr="00E20185">
        <w:rPr>
          <w:rFonts w:ascii="Arial" w:hAnsi="Arial" w:cs="Arial"/>
          <w:spacing w:val="-3"/>
          <w:sz w:val="24"/>
          <w:szCs w:val="24"/>
        </w:rPr>
        <w:t>dated 25 January 2023</w:t>
      </w:r>
    </w:p>
    <w:p w14:paraId="6DF55EE0" w14:textId="77777777" w:rsidR="00B80AA7" w:rsidRDefault="00B80AA7" w:rsidP="00E20185">
      <w:pPr>
        <w:tabs>
          <w:tab w:val="left" w:pos="-720"/>
        </w:tabs>
        <w:suppressAutoHyphens/>
        <w:spacing w:after="0" w:line="240" w:lineRule="auto"/>
        <w:jc w:val="center"/>
        <w:rPr>
          <w:rFonts w:ascii="Arial" w:hAnsi="Arial" w:cs="Arial"/>
          <w:spacing w:val="-3"/>
          <w:sz w:val="24"/>
          <w:szCs w:val="24"/>
        </w:rPr>
      </w:pPr>
    </w:p>
    <w:p w14:paraId="26E55CDD" w14:textId="77777777" w:rsidR="00E20185" w:rsidRPr="00E20185" w:rsidRDefault="00E20185" w:rsidP="00E20185">
      <w:pPr>
        <w:tabs>
          <w:tab w:val="left" w:pos="-720"/>
        </w:tabs>
        <w:suppressAutoHyphens/>
        <w:spacing w:after="0" w:line="240" w:lineRule="auto"/>
        <w:jc w:val="center"/>
        <w:rPr>
          <w:rFonts w:ascii="Arial" w:hAnsi="Arial" w:cs="Arial"/>
          <w:spacing w:val="-3"/>
          <w:sz w:val="24"/>
          <w:szCs w:val="24"/>
        </w:rPr>
      </w:pPr>
    </w:p>
    <w:p w14:paraId="7945988E" w14:textId="43C5F307" w:rsidR="00B80AA7" w:rsidRPr="00E20185" w:rsidRDefault="00B80AA7" w:rsidP="00E20185">
      <w:pPr>
        <w:tabs>
          <w:tab w:val="center" w:pos="4513"/>
        </w:tabs>
        <w:suppressAutoHyphens/>
        <w:spacing w:after="0" w:line="240" w:lineRule="auto"/>
        <w:jc w:val="center"/>
        <w:rPr>
          <w:rFonts w:ascii="Arial" w:hAnsi="Arial" w:cs="Arial"/>
          <w:spacing w:val="-3"/>
          <w:sz w:val="24"/>
          <w:szCs w:val="24"/>
          <w:u w:val="single"/>
        </w:rPr>
      </w:pPr>
      <w:r w:rsidRPr="00E20185">
        <w:rPr>
          <w:rFonts w:ascii="Arial" w:hAnsi="Arial" w:cs="Arial"/>
          <w:spacing w:val="-3"/>
          <w:sz w:val="24"/>
          <w:szCs w:val="24"/>
          <w:u w:val="single"/>
        </w:rPr>
        <w:t>DECISION OF THE SOCIAL SECURITY COMMISSIONER</w:t>
      </w:r>
    </w:p>
    <w:p w14:paraId="7DFA700D" w14:textId="77777777" w:rsidR="00B80AA7" w:rsidRPr="00E20185" w:rsidRDefault="00B80AA7" w:rsidP="00E20185">
      <w:pPr>
        <w:spacing w:after="0" w:line="240" w:lineRule="auto"/>
        <w:jc w:val="both"/>
        <w:rPr>
          <w:rFonts w:ascii="Arial" w:hAnsi="Arial" w:cs="Arial"/>
          <w:sz w:val="24"/>
          <w:szCs w:val="24"/>
        </w:rPr>
      </w:pPr>
    </w:p>
    <w:p w14:paraId="0178A1FD" w14:textId="77777777" w:rsidR="00E20185" w:rsidRDefault="00E20185" w:rsidP="00E20185">
      <w:pPr>
        <w:tabs>
          <w:tab w:val="left" w:pos="567"/>
        </w:tabs>
        <w:spacing w:after="0" w:line="240" w:lineRule="auto"/>
        <w:jc w:val="both"/>
        <w:rPr>
          <w:rFonts w:ascii="Arial" w:hAnsi="Arial" w:cs="Arial"/>
          <w:sz w:val="24"/>
          <w:szCs w:val="24"/>
        </w:rPr>
      </w:pPr>
    </w:p>
    <w:p w14:paraId="0BA9954B" w14:textId="774BC046" w:rsidR="00DF2CE6" w:rsidRPr="00E20185" w:rsidRDefault="00B80AA7" w:rsidP="00E20185">
      <w:pPr>
        <w:tabs>
          <w:tab w:val="left" w:pos="567"/>
        </w:tabs>
        <w:spacing w:after="0" w:line="240" w:lineRule="auto"/>
        <w:jc w:val="both"/>
        <w:rPr>
          <w:rFonts w:ascii="Arial" w:hAnsi="Arial" w:cs="Arial"/>
          <w:sz w:val="24"/>
          <w:szCs w:val="24"/>
        </w:rPr>
      </w:pPr>
      <w:r w:rsidRPr="00E20185">
        <w:rPr>
          <w:rFonts w:ascii="Arial" w:hAnsi="Arial" w:cs="Arial"/>
          <w:sz w:val="24"/>
          <w:szCs w:val="24"/>
        </w:rPr>
        <w:t xml:space="preserve">I grant leave to appeal.  I deal with the substantive appeal, which I allow.  I set aside the decision of the Tribunal sitting at </w:t>
      </w:r>
      <w:r w:rsidR="002626BA" w:rsidRPr="00E20185">
        <w:rPr>
          <w:rFonts w:ascii="Arial" w:hAnsi="Arial" w:cs="Arial"/>
          <w:sz w:val="24"/>
          <w:szCs w:val="24"/>
        </w:rPr>
        <w:t>Dungannon</w:t>
      </w:r>
      <w:r w:rsidRPr="00E20185">
        <w:rPr>
          <w:rFonts w:ascii="Arial" w:hAnsi="Arial" w:cs="Arial"/>
          <w:sz w:val="24"/>
          <w:szCs w:val="24"/>
        </w:rPr>
        <w:t xml:space="preserve"> on </w:t>
      </w:r>
      <w:r w:rsidR="002626BA" w:rsidRPr="00E20185">
        <w:rPr>
          <w:rFonts w:ascii="Arial" w:hAnsi="Arial" w:cs="Arial"/>
          <w:spacing w:val="-3"/>
          <w:sz w:val="24"/>
          <w:szCs w:val="24"/>
        </w:rPr>
        <w:t>25 January 2023</w:t>
      </w:r>
      <w:r w:rsidR="002626BA" w:rsidRPr="00E20185">
        <w:rPr>
          <w:rFonts w:ascii="Arial" w:hAnsi="Arial" w:cs="Arial"/>
          <w:sz w:val="24"/>
          <w:szCs w:val="24"/>
        </w:rPr>
        <w:t xml:space="preserve"> </w:t>
      </w:r>
      <w:r w:rsidRPr="00E20185">
        <w:rPr>
          <w:rFonts w:ascii="Arial" w:hAnsi="Arial" w:cs="Arial"/>
          <w:sz w:val="24"/>
          <w:szCs w:val="24"/>
        </w:rPr>
        <w:t>as being in error of law.</w:t>
      </w:r>
      <w:r w:rsidR="00E20185">
        <w:rPr>
          <w:rFonts w:ascii="Arial" w:hAnsi="Arial" w:cs="Arial"/>
          <w:sz w:val="24"/>
          <w:szCs w:val="24"/>
        </w:rPr>
        <w:t xml:space="preserve"> </w:t>
      </w:r>
      <w:r w:rsidRPr="00E20185">
        <w:rPr>
          <w:rFonts w:ascii="Arial" w:hAnsi="Arial" w:cs="Arial"/>
          <w:sz w:val="24"/>
          <w:szCs w:val="24"/>
        </w:rPr>
        <w:t xml:space="preserve"> I remit the matter back to a freshly constituted Tribunal with the following directions.</w:t>
      </w:r>
    </w:p>
    <w:p w14:paraId="03D10763" w14:textId="77777777" w:rsidR="00DF2CE6" w:rsidRPr="00E20185" w:rsidRDefault="00DF2CE6" w:rsidP="00E20185">
      <w:pPr>
        <w:tabs>
          <w:tab w:val="left" w:pos="567"/>
        </w:tabs>
        <w:spacing w:after="0" w:line="240" w:lineRule="auto"/>
        <w:jc w:val="both"/>
        <w:rPr>
          <w:rFonts w:ascii="Arial" w:hAnsi="Arial" w:cs="Arial"/>
          <w:sz w:val="24"/>
          <w:szCs w:val="24"/>
        </w:rPr>
      </w:pPr>
    </w:p>
    <w:p w14:paraId="051509BB" w14:textId="07EE8247" w:rsidR="00DF2CE6" w:rsidRPr="00E20185" w:rsidRDefault="00A306AA" w:rsidP="00A306AA">
      <w:pPr>
        <w:tabs>
          <w:tab w:val="left" w:pos="510"/>
          <w:tab w:val="left" w:pos="1077"/>
          <w:tab w:val="left" w:pos="1797"/>
        </w:tabs>
        <w:spacing w:after="0" w:line="240" w:lineRule="auto"/>
        <w:jc w:val="both"/>
        <w:rPr>
          <w:rFonts w:ascii="Arial" w:hAnsi="Arial" w:cs="Arial"/>
          <w:b/>
          <w:bCs/>
          <w:sz w:val="24"/>
          <w:szCs w:val="24"/>
          <w:u w:val="single"/>
        </w:rPr>
      </w:pPr>
      <w:r w:rsidRPr="00A306AA">
        <w:rPr>
          <w:rFonts w:ascii="Arial" w:hAnsi="Arial" w:cs="Arial"/>
          <w:b/>
          <w:bCs/>
          <w:sz w:val="24"/>
          <w:szCs w:val="24"/>
        </w:rPr>
        <w:tab/>
      </w:r>
      <w:r w:rsidR="00B80AA7" w:rsidRPr="00E20185">
        <w:rPr>
          <w:rFonts w:ascii="Arial" w:hAnsi="Arial" w:cs="Arial"/>
          <w:b/>
          <w:bCs/>
          <w:sz w:val="24"/>
          <w:szCs w:val="24"/>
          <w:u w:val="single"/>
        </w:rPr>
        <w:t>Directions</w:t>
      </w:r>
    </w:p>
    <w:p w14:paraId="1322F738" w14:textId="77777777" w:rsidR="00DF2CE6" w:rsidRPr="00E20185" w:rsidRDefault="00DF2CE6" w:rsidP="00A306AA">
      <w:pPr>
        <w:tabs>
          <w:tab w:val="left" w:pos="510"/>
          <w:tab w:val="left" w:pos="1077"/>
          <w:tab w:val="left" w:pos="1797"/>
        </w:tabs>
        <w:spacing w:after="0" w:line="240" w:lineRule="auto"/>
        <w:jc w:val="both"/>
        <w:rPr>
          <w:rFonts w:ascii="Arial" w:hAnsi="Arial" w:cs="Arial"/>
          <w:sz w:val="24"/>
          <w:szCs w:val="24"/>
        </w:rPr>
      </w:pPr>
    </w:p>
    <w:p w14:paraId="3F72E03B" w14:textId="7B6964E9" w:rsidR="00DF2CE6" w:rsidRPr="00E20185" w:rsidRDefault="00A306AA" w:rsidP="00A306A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B80AA7" w:rsidRPr="00E20185">
        <w:rPr>
          <w:rFonts w:ascii="Arial" w:hAnsi="Arial" w:cs="Arial"/>
          <w:sz w:val="24"/>
          <w:szCs w:val="24"/>
        </w:rPr>
        <w:t xml:space="preserve">The fresh appeal will be listed before a new tribunal, that is, one with none of the same members as previously. </w:t>
      </w:r>
      <w:r>
        <w:rPr>
          <w:rFonts w:ascii="Arial" w:hAnsi="Arial" w:cs="Arial"/>
          <w:sz w:val="24"/>
          <w:szCs w:val="24"/>
        </w:rPr>
        <w:t xml:space="preserve"> </w:t>
      </w:r>
      <w:r w:rsidR="00B80AA7" w:rsidRPr="00E20185">
        <w:rPr>
          <w:rFonts w:ascii="Arial" w:hAnsi="Arial" w:cs="Arial"/>
          <w:sz w:val="24"/>
          <w:szCs w:val="24"/>
        </w:rPr>
        <w:t xml:space="preserve">It will be listed as an oral hearing, and it is in the claimant’s interests to attend, either in person, by phone or virtually, as </w:t>
      </w:r>
      <w:r w:rsidR="003D2392" w:rsidRPr="00E20185">
        <w:rPr>
          <w:rFonts w:ascii="Arial" w:hAnsi="Arial" w:cs="Arial"/>
          <w:sz w:val="24"/>
          <w:szCs w:val="24"/>
        </w:rPr>
        <w:t>he</w:t>
      </w:r>
      <w:r w:rsidR="00B80AA7" w:rsidRPr="00E20185">
        <w:rPr>
          <w:rFonts w:ascii="Arial" w:hAnsi="Arial" w:cs="Arial"/>
          <w:sz w:val="24"/>
          <w:szCs w:val="24"/>
        </w:rPr>
        <w:t xml:space="preserve"> prefers, or as is practical.</w:t>
      </w:r>
    </w:p>
    <w:p w14:paraId="35111CD0" w14:textId="77777777" w:rsidR="00DF2CE6" w:rsidRPr="00E20185" w:rsidRDefault="00DF2CE6" w:rsidP="00A306AA">
      <w:pPr>
        <w:tabs>
          <w:tab w:val="left" w:pos="510"/>
          <w:tab w:val="left" w:pos="1077"/>
          <w:tab w:val="left" w:pos="1797"/>
        </w:tabs>
        <w:spacing w:after="0" w:line="240" w:lineRule="auto"/>
        <w:ind w:left="510" w:hanging="510"/>
        <w:jc w:val="both"/>
        <w:rPr>
          <w:rFonts w:ascii="Arial" w:hAnsi="Arial" w:cs="Arial"/>
          <w:sz w:val="24"/>
          <w:szCs w:val="24"/>
        </w:rPr>
      </w:pPr>
    </w:p>
    <w:p w14:paraId="6C8B282F" w14:textId="6D7B5C98" w:rsidR="00DF2CE6" w:rsidRPr="00E20185" w:rsidRDefault="00A306AA" w:rsidP="00A306A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3D2392" w:rsidRPr="00E20185">
        <w:rPr>
          <w:rFonts w:ascii="Arial" w:hAnsi="Arial" w:cs="Arial"/>
          <w:sz w:val="24"/>
          <w:szCs w:val="24"/>
        </w:rPr>
        <w:t>He</w:t>
      </w:r>
      <w:r w:rsidR="00B80AA7" w:rsidRPr="00E20185">
        <w:rPr>
          <w:rFonts w:ascii="Arial" w:hAnsi="Arial" w:cs="Arial"/>
          <w:sz w:val="24"/>
          <w:szCs w:val="24"/>
        </w:rPr>
        <w:t xml:space="preserve"> must tell the Appeals Service </w:t>
      </w:r>
      <w:r w:rsidR="00DF2CE6" w:rsidRPr="00E20185">
        <w:rPr>
          <w:rFonts w:ascii="Arial" w:hAnsi="Arial" w:cs="Arial"/>
          <w:sz w:val="24"/>
          <w:szCs w:val="24"/>
        </w:rPr>
        <w:t xml:space="preserve">(TAS) </w:t>
      </w:r>
      <w:r w:rsidR="00B80AA7" w:rsidRPr="00E20185">
        <w:rPr>
          <w:rFonts w:ascii="Arial" w:hAnsi="Arial" w:cs="Arial"/>
          <w:sz w:val="24"/>
          <w:szCs w:val="24"/>
        </w:rPr>
        <w:t xml:space="preserve">in writing (post or email as is usual) which sort of hearing </w:t>
      </w:r>
      <w:r w:rsidR="003D2392" w:rsidRPr="00E20185">
        <w:rPr>
          <w:rFonts w:ascii="Arial" w:hAnsi="Arial" w:cs="Arial"/>
          <w:sz w:val="24"/>
          <w:szCs w:val="24"/>
        </w:rPr>
        <w:t>he</w:t>
      </w:r>
      <w:r w:rsidR="00B80AA7" w:rsidRPr="00E20185">
        <w:rPr>
          <w:rFonts w:ascii="Arial" w:hAnsi="Arial" w:cs="Arial"/>
          <w:sz w:val="24"/>
          <w:szCs w:val="24"/>
        </w:rPr>
        <w:t xml:space="preserve"> would prefer within 14 days of the issue of this decision.</w:t>
      </w:r>
    </w:p>
    <w:p w14:paraId="31917E00" w14:textId="77777777" w:rsidR="00DF2CE6" w:rsidRPr="00E20185" w:rsidRDefault="00DF2CE6" w:rsidP="00A306AA">
      <w:pPr>
        <w:tabs>
          <w:tab w:val="left" w:pos="510"/>
          <w:tab w:val="left" w:pos="1077"/>
          <w:tab w:val="left" w:pos="1797"/>
        </w:tabs>
        <w:spacing w:after="0" w:line="240" w:lineRule="auto"/>
        <w:ind w:left="510" w:hanging="510"/>
        <w:jc w:val="both"/>
        <w:rPr>
          <w:rFonts w:ascii="Arial" w:hAnsi="Arial" w:cs="Arial"/>
          <w:sz w:val="24"/>
          <w:szCs w:val="24"/>
        </w:rPr>
      </w:pPr>
    </w:p>
    <w:p w14:paraId="359B8145" w14:textId="392A1CAC" w:rsidR="00DF2CE6" w:rsidRPr="00E20185" w:rsidRDefault="00A306AA" w:rsidP="00A306A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3D2392" w:rsidRPr="00E20185">
        <w:rPr>
          <w:rFonts w:ascii="Arial" w:hAnsi="Arial" w:cs="Arial"/>
          <w:sz w:val="24"/>
          <w:szCs w:val="24"/>
        </w:rPr>
        <w:t>He</w:t>
      </w:r>
      <w:r w:rsidR="00B80AA7" w:rsidRPr="00E20185">
        <w:rPr>
          <w:rFonts w:ascii="Arial" w:hAnsi="Arial" w:cs="Arial"/>
          <w:sz w:val="24"/>
          <w:szCs w:val="24"/>
        </w:rPr>
        <w:t xml:space="preserve"> should understand that the tribunal is looking at how h</w:t>
      </w:r>
      <w:r w:rsidR="003D2392" w:rsidRPr="00E20185">
        <w:rPr>
          <w:rFonts w:ascii="Arial" w:hAnsi="Arial" w:cs="Arial"/>
          <w:sz w:val="24"/>
          <w:szCs w:val="24"/>
        </w:rPr>
        <w:t>is</w:t>
      </w:r>
      <w:r w:rsidR="00B80AA7" w:rsidRPr="00E20185">
        <w:rPr>
          <w:rFonts w:ascii="Arial" w:hAnsi="Arial" w:cs="Arial"/>
          <w:sz w:val="24"/>
          <w:szCs w:val="24"/>
        </w:rPr>
        <w:t xml:space="preserve"> medical conditions affected h</w:t>
      </w:r>
      <w:r w:rsidR="00D8637E" w:rsidRPr="00E20185">
        <w:rPr>
          <w:rFonts w:ascii="Arial" w:hAnsi="Arial" w:cs="Arial"/>
          <w:sz w:val="24"/>
          <w:szCs w:val="24"/>
        </w:rPr>
        <w:t>is</w:t>
      </w:r>
      <w:r w:rsidR="00B80AA7" w:rsidRPr="00E20185">
        <w:rPr>
          <w:rFonts w:ascii="Arial" w:hAnsi="Arial" w:cs="Arial"/>
          <w:sz w:val="24"/>
          <w:szCs w:val="24"/>
        </w:rPr>
        <w:t xml:space="preserve"> function during the qualifying period before the decision under appeal.  The tribunal can consider things that have happened since then only if they shed light on what the position was likely to have been at the date of the</w:t>
      </w:r>
      <w:r w:rsidR="00D8637E" w:rsidRPr="00E20185">
        <w:rPr>
          <w:rFonts w:ascii="Arial" w:hAnsi="Arial" w:cs="Arial"/>
          <w:sz w:val="24"/>
          <w:szCs w:val="24"/>
        </w:rPr>
        <w:t xml:space="preserve"> Department’s</w:t>
      </w:r>
      <w:r w:rsidR="00B80AA7" w:rsidRPr="00E20185">
        <w:rPr>
          <w:rFonts w:ascii="Arial" w:hAnsi="Arial" w:cs="Arial"/>
          <w:sz w:val="24"/>
          <w:szCs w:val="24"/>
        </w:rPr>
        <w:t xml:space="preserve"> decision</w:t>
      </w:r>
      <w:r w:rsidR="00DF2CE6" w:rsidRPr="00E20185">
        <w:rPr>
          <w:rFonts w:ascii="Arial" w:hAnsi="Arial" w:cs="Arial"/>
          <w:sz w:val="24"/>
          <w:szCs w:val="24"/>
        </w:rPr>
        <w:t>.</w:t>
      </w:r>
    </w:p>
    <w:p w14:paraId="29BB018B" w14:textId="77777777" w:rsidR="00DF2CE6" w:rsidRPr="00E20185" w:rsidRDefault="00DF2CE6" w:rsidP="00A306AA">
      <w:pPr>
        <w:pStyle w:val="ListParagraph"/>
        <w:tabs>
          <w:tab w:val="left" w:pos="510"/>
          <w:tab w:val="left" w:pos="1077"/>
          <w:tab w:val="left" w:pos="1797"/>
        </w:tabs>
        <w:spacing w:after="0" w:line="240" w:lineRule="auto"/>
        <w:ind w:left="510" w:hanging="510"/>
        <w:rPr>
          <w:rFonts w:ascii="Arial" w:hAnsi="Arial" w:cs="Arial"/>
          <w:sz w:val="24"/>
          <w:szCs w:val="24"/>
        </w:rPr>
      </w:pPr>
    </w:p>
    <w:p w14:paraId="0637044C" w14:textId="27471848" w:rsidR="00B80AA7" w:rsidRDefault="00A306AA" w:rsidP="00A306A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B80AA7" w:rsidRPr="00E20185">
        <w:rPr>
          <w:rFonts w:ascii="Arial" w:hAnsi="Arial" w:cs="Arial"/>
          <w:sz w:val="24"/>
          <w:szCs w:val="24"/>
        </w:rPr>
        <w:t xml:space="preserve">A Chairman of </w:t>
      </w:r>
      <w:r w:rsidR="00DF2CE6" w:rsidRPr="00E20185">
        <w:rPr>
          <w:rFonts w:ascii="Arial" w:hAnsi="Arial" w:cs="Arial"/>
          <w:sz w:val="24"/>
          <w:szCs w:val="24"/>
        </w:rPr>
        <w:t>TAS</w:t>
      </w:r>
      <w:r w:rsidR="00B80AA7" w:rsidRPr="00E20185">
        <w:rPr>
          <w:rFonts w:ascii="Arial" w:hAnsi="Arial" w:cs="Arial"/>
          <w:sz w:val="24"/>
          <w:szCs w:val="24"/>
        </w:rPr>
        <w:t xml:space="preserve"> may make any further necessary listing directions</w:t>
      </w:r>
      <w:r w:rsidR="00EE299A" w:rsidRPr="00E20185">
        <w:rPr>
          <w:rFonts w:ascii="Arial" w:hAnsi="Arial" w:cs="Arial"/>
          <w:sz w:val="24"/>
          <w:szCs w:val="24"/>
        </w:rPr>
        <w:t>.</w:t>
      </w:r>
    </w:p>
    <w:p w14:paraId="774F6754" w14:textId="77777777" w:rsidR="00A306AA" w:rsidRPr="00E20185" w:rsidRDefault="00A306AA" w:rsidP="00A306AA">
      <w:pPr>
        <w:tabs>
          <w:tab w:val="left" w:pos="510"/>
          <w:tab w:val="left" w:pos="1077"/>
          <w:tab w:val="left" w:pos="1797"/>
        </w:tabs>
        <w:spacing w:after="0" w:line="240" w:lineRule="auto"/>
        <w:jc w:val="both"/>
        <w:rPr>
          <w:rFonts w:ascii="Arial" w:hAnsi="Arial" w:cs="Arial"/>
          <w:sz w:val="24"/>
          <w:szCs w:val="24"/>
        </w:rPr>
      </w:pPr>
    </w:p>
    <w:p w14:paraId="4CBA5173" w14:textId="77777777" w:rsidR="00A306AA" w:rsidRDefault="00A306AA">
      <w:pPr>
        <w:spacing w:after="0" w:line="240" w:lineRule="auto"/>
        <w:rPr>
          <w:rFonts w:ascii="Arial" w:hAnsi="Arial" w:cs="Arial"/>
          <w:b/>
          <w:sz w:val="24"/>
          <w:szCs w:val="24"/>
        </w:rPr>
      </w:pPr>
      <w:r>
        <w:rPr>
          <w:rFonts w:ascii="Arial" w:hAnsi="Arial" w:cs="Arial"/>
          <w:b/>
          <w:sz w:val="24"/>
          <w:szCs w:val="24"/>
        </w:rPr>
        <w:br w:type="page"/>
      </w:r>
    </w:p>
    <w:p w14:paraId="07AC8013" w14:textId="6BC3AC6A" w:rsidR="00B80AA7" w:rsidRPr="00E20185" w:rsidRDefault="00A306AA" w:rsidP="00A306AA">
      <w:pPr>
        <w:tabs>
          <w:tab w:val="left" w:pos="510"/>
          <w:tab w:val="left" w:pos="1077"/>
          <w:tab w:val="left" w:pos="1797"/>
        </w:tabs>
        <w:spacing w:after="0" w:line="240" w:lineRule="auto"/>
        <w:jc w:val="both"/>
        <w:rPr>
          <w:rFonts w:ascii="Arial" w:hAnsi="Arial" w:cs="Arial"/>
          <w:b/>
          <w:sz w:val="24"/>
          <w:szCs w:val="24"/>
          <w:u w:val="single"/>
        </w:rPr>
      </w:pPr>
      <w:r w:rsidRPr="00A306AA">
        <w:rPr>
          <w:rFonts w:ascii="Arial" w:hAnsi="Arial" w:cs="Arial"/>
          <w:b/>
          <w:sz w:val="24"/>
          <w:szCs w:val="24"/>
        </w:rPr>
        <w:lastRenderedPageBreak/>
        <w:tab/>
      </w:r>
      <w:r w:rsidR="00B80AA7" w:rsidRPr="00E20185">
        <w:rPr>
          <w:rFonts w:ascii="Arial" w:hAnsi="Arial" w:cs="Arial"/>
          <w:b/>
          <w:sz w:val="24"/>
          <w:szCs w:val="24"/>
          <w:u w:val="single"/>
        </w:rPr>
        <w:t>REASONS</w:t>
      </w:r>
    </w:p>
    <w:p w14:paraId="7FBA0FAC" w14:textId="77777777" w:rsidR="00DF2CE6" w:rsidRPr="00E20185" w:rsidRDefault="00DF2CE6" w:rsidP="00A306AA">
      <w:pPr>
        <w:tabs>
          <w:tab w:val="left" w:pos="510"/>
          <w:tab w:val="left" w:pos="1077"/>
          <w:tab w:val="left" w:pos="1797"/>
        </w:tabs>
        <w:spacing w:after="0" w:line="240" w:lineRule="auto"/>
        <w:jc w:val="both"/>
        <w:rPr>
          <w:rFonts w:ascii="Arial" w:hAnsi="Arial" w:cs="Arial"/>
          <w:b/>
          <w:sz w:val="24"/>
          <w:szCs w:val="24"/>
          <w:u w:val="single"/>
        </w:rPr>
      </w:pPr>
    </w:p>
    <w:p w14:paraId="1FF83139" w14:textId="6F0F5A5C" w:rsidR="00DF2CE6" w:rsidRPr="00E20185" w:rsidRDefault="00A306AA" w:rsidP="00A306AA">
      <w:pPr>
        <w:tabs>
          <w:tab w:val="left" w:pos="510"/>
          <w:tab w:val="left" w:pos="1077"/>
          <w:tab w:val="left" w:pos="1797"/>
        </w:tabs>
        <w:spacing w:after="0" w:line="240" w:lineRule="auto"/>
        <w:jc w:val="both"/>
        <w:rPr>
          <w:rFonts w:ascii="Arial" w:eastAsia="Times New Roman" w:hAnsi="Arial" w:cs="Arial"/>
          <w:bCs/>
          <w:sz w:val="24"/>
          <w:szCs w:val="24"/>
          <w:u w:val="single"/>
        </w:rPr>
      </w:pPr>
      <w:r w:rsidRPr="00A306AA">
        <w:rPr>
          <w:rFonts w:ascii="Arial" w:eastAsia="Times New Roman" w:hAnsi="Arial" w:cs="Arial"/>
          <w:b/>
          <w:bCs/>
          <w:sz w:val="24"/>
          <w:szCs w:val="24"/>
        </w:rPr>
        <w:tab/>
      </w:r>
      <w:r w:rsidR="00B80AA7" w:rsidRPr="00E20185">
        <w:rPr>
          <w:rFonts w:ascii="Arial" w:eastAsia="Times New Roman" w:hAnsi="Arial" w:cs="Arial"/>
          <w:b/>
          <w:bCs/>
          <w:sz w:val="24"/>
          <w:szCs w:val="24"/>
          <w:u w:val="single"/>
        </w:rPr>
        <w:t>Proceedings before the Commissioners</w:t>
      </w:r>
    </w:p>
    <w:p w14:paraId="0F851560" w14:textId="77777777" w:rsidR="00DF2CE6" w:rsidRPr="00E20185" w:rsidRDefault="00DF2CE6" w:rsidP="00A306AA">
      <w:pPr>
        <w:tabs>
          <w:tab w:val="left" w:pos="510"/>
          <w:tab w:val="left" w:pos="1077"/>
          <w:tab w:val="left" w:pos="1797"/>
        </w:tabs>
        <w:spacing w:after="0" w:line="240" w:lineRule="auto"/>
        <w:jc w:val="both"/>
        <w:rPr>
          <w:rFonts w:ascii="Arial" w:eastAsia="Times New Roman" w:hAnsi="Arial" w:cs="Arial"/>
          <w:bCs/>
          <w:sz w:val="24"/>
          <w:szCs w:val="24"/>
          <w:u w:val="single"/>
        </w:rPr>
      </w:pPr>
    </w:p>
    <w:p w14:paraId="7F91CA27" w14:textId="0AB02C2F" w:rsidR="00DF2CE6" w:rsidRPr="00E20185" w:rsidRDefault="002B087B" w:rsidP="002B087B">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r>
        <w:rPr>
          <w:rFonts w:ascii="Arial" w:hAnsi="Arial" w:cs="Arial"/>
          <w:bCs/>
          <w:sz w:val="24"/>
          <w:szCs w:val="24"/>
        </w:rPr>
        <w:t>1.</w:t>
      </w:r>
      <w:r>
        <w:rPr>
          <w:rFonts w:ascii="Arial" w:hAnsi="Arial" w:cs="Arial"/>
          <w:bCs/>
          <w:sz w:val="24"/>
          <w:szCs w:val="24"/>
        </w:rPr>
        <w:tab/>
      </w:r>
      <w:r w:rsidR="00B80AA7" w:rsidRPr="00E20185">
        <w:rPr>
          <w:rFonts w:ascii="Arial" w:hAnsi="Arial" w:cs="Arial"/>
          <w:bCs/>
          <w:sz w:val="24"/>
          <w:szCs w:val="24"/>
        </w:rPr>
        <w:t>As I am granting the application for leave to appeal, I refer to the applicant as either the appellant or the claimant.</w:t>
      </w:r>
    </w:p>
    <w:p w14:paraId="170548E9" w14:textId="77777777" w:rsidR="00DF2CE6" w:rsidRPr="00E20185" w:rsidRDefault="00DF2CE6" w:rsidP="002B087B">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p>
    <w:p w14:paraId="40CAC72B" w14:textId="307790AB" w:rsidR="006F61FF" w:rsidRPr="00E20185" w:rsidRDefault="002B087B" w:rsidP="002B087B">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r>
        <w:rPr>
          <w:rFonts w:ascii="Arial" w:hAnsi="Arial" w:cs="Arial"/>
          <w:sz w:val="24"/>
          <w:szCs w:val="24"/>
        </w:rPr>
        <w:t>2.</w:t>
      </w:r>
      <w:r>
        <w:rPr>
          <w:rFonts w:ascii="Arial" w:hAnsi="Arial" w:cs="Arial"/>
          <w:sz w:val="24"/>
          <w:szCs w:val="24"/>
        </w:rPr>
        <w:tab/>
      </w:r>
      <w:r w:rsidR="00B80AA7" w:rsidRPr="00E20185">
        <w:rPr>
          <w:rFonts w:ascii="Arial" w:hAnsi="Arial" w:cs="Arial"/>
          <w:sz w:val="24"/>
          <w:szCs w:val="24"/>
        </w:rPr>
        <w:t>The tribunal decision before me adopted the conclusion of the decision maker as to there being no entitlement to the</w:t>
      </w:r>
      <w:r w:rsidR="00DF2CE6" w:rsidRPr="00E20185">
        <w:rPr>
          <w:rFonts w:ascii="Arial" w:hAnsi="Arial" w:cs="Arial"/>
          <w:sz w:val="24"/>
          <w:szCs w:val="24"/>
        </w:rPr>
        <w:t xml:space="preserve"> Personal Independence Payment (</w:t>
      </w:r>
      <w:r w:rsidR="00B80AA7" w:rsidRPr="00E20185">
        <w:rPr>
          <w:rFonts w:ascii="Arial" w:hAnsi="Arial" w:cs="Arial"/>
          <w:sz w:val="24"/>
          <w:szCs w:val="24"/>
        </w:rPr>
        <w:t>PIP</w:t>
      </w:r>
      <w:r w:rsidR="006F61FF" w:rsidRPr="00E20185">
        <w:rPr>
          <w:rFonts w:ascii="Arial" w:hAnsi="Arial" w:cs="Arial"/>
          <w:sz w:val="24"/>
          <w:szCs w:val="24"/>
        </w:rPr>
        <w:t>)</w:t>
      </w:r>
      <w:r w:rsidR="00B80AA7" w:rsidRPr="00E20185">
        <w:rPr>
          <w:rFonts w:ascii="Arial" w:hAnsi="Arial" w:cs="Arial"/>
          <w:sz w:val="24"/>
          <w:szCs w:val="24"/>
        </w:rPr>
        <w:t xml:space="preserve"> daily living component.  I</w:t>
      </w:r>
      <w:r w:rsidR="003D2392" w:rsidRPr="00E20185">
        <w:rPr>
          <w:rFonts w:ascii="Arial" w:hAnsi="Arial" w:cs="Arial"/>
          <w:sz w:val="24"/>
          <w:szCs w:val="24"/>
        </w:rPr>
        <w:t>n contrast to the decision maker, however, it awarded the mobility component at the standard rate for a period of three years</w:t>
      </w:r>
      <w:r w:rsidR="00D8637E" w:rsidRPr="00E20185">
        <w:rPr>
          <w:rFonts w:ascii="Arial" w:hAnsi="Arial" w:cs="Arial"/>
          <w:sz w:val="24"/>
          <w:szCs w:val="24"/>
        </w:rPr>
        <w:t xml:space="preserve"> and a total of five points under the daily living descriptors.</w:t>
      </w:r>
    </w:p>
    <w:p w14:paraId="3E47A320" w14:textId="77777777" w:rsidR="006F61FF" w:rsidRPr="00E20185" w:rsidRDefault="006F61FF" w:rsidP="002B087B">
      <w:pPr>
        <w:pStyle w:val="ListParagraph"/>
        <w:tabs>
          <w:tab w:val="left" w:pos="510"/>
          <w:tab w:val="left" w:pos="1077"/>
          <w:tab w:val="left" w:pos="1797"/>
        </w:tabs>
        <w:spacing w:after="0" w:line="240" w:lineRule="auto"/>
        <w:ind w:left="510" w:hanging="510"/>
        <w:rPr>
          <w:rFonts w:ascii="Arial" w:hAnsi="Arial" w:cs="Arial"/>
          <w:sz w:val="24"/>
          <w:szCs w:val="24"/>
        </w:rPr>
      </w:pPr>
    </w:p>
    <w:p w14:paraId="5D49C8AE" w14:textId="63B2D544" w:rsidR="006F61FF" w:rsidRPr="00E20185" w:rsidRDefault="002B087B" w:rsidP="002B087B">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r>
        <w:rPr>
          <w:rFonts w:ascii="Arial" w:hAnsi="Arial" w:cs="Arial"/>
          <w:sz w:val="24"/>
          <w:szCs w:val="24"/>
        </w:rPr>
        <w:t>3.</w:t>
      </w:r>
      <w:r>
        <w:rPr>
          <w:rFonts w:ascii="Arial" w:hAnsi="Arial" w:cs="Arial"/>
          <w:sz w:val="24"/>
          <w:szCs w:val="24"/>
        </w:rPr>
        <w:tab/>
      </w:r>
      <w:r w:rsidR="00B80AA7" w:rsidRPr="00E20185">
        <w:rPr>
          <w:rFonts w:ascii="Arial" w:hAnsi="Arial" w:cs="Arial"/>
          <w:sz w:val="24"/>
          <w:szCs w:val="24"/>
        </w:rPr>
        <w:t xml:space="preserve">The application for leave to appeal </w:t>
      </w:r>
      <w:r w:rsidR="00B80AA7" w:rsidRPr="00E20185">
        <w:rPr>
          <w:rFonts w:ascii="Arial" w:hAnsi="Arial" w:cs="Arial"/>
          <w:bCs/>
          <w:sz w:val="24"/>
          <w:szCs w:val="24"/>
        </w:rPr>
        <w:t>to the Commissioner was refused by the legal member of the tribunal that heard the appeal.  I am looking again at that application.</w:t>
      </w:r>
    </w:p>
    <w:p w14:paraId="72A4B50B" w14:textId="77777777" w:rsidR="006F61FF" w:rsidRPr="00E20185" w:rsidRDefault="006F61FF" w:rsidP="002B087B">
      <w:pPr>
        <w:pStyle w:val="ListParagraph"/>
        <w:tabs>
          <w:tab w:val="left" w:pos="510"/>
          <w:tab w:val="left" w:pos="1077"/>
          <w:tab w:val="left" w:pos="1797"/>
        </w:tabs>
        <w:spacing w:after="0" w:line="240" w:lineRule="auto"/>
        <w:ind w:left="510" w:hanging="510"/>
        <w:rPr>
          <w:rFonts w:ascii="Arial" w:hAnsi="Arial" w:cs="Arial"/>
          <w:bCs/>
          <w:sz w:val="24"/>
          <w:szCs w:val="24"/>
        </w:rPr>
      </w:pPr>
    </w:p>
    <w:p w14:paraId="33C24E2C" w14:textId="2932CFD7" w:rsidR="006F61FF" w:rsidRPr="00E20185" w:rsidRDefault="002B087B" w:rsidP="002B087B">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r>
        <w:rPr>
          <w:rFonts w:ascii="Arial" w:hAnsi="Arial" w:cs="Arial"/>
          <w:bCs/>
          <w:sz w:val="24"/>
          <w:szCs w:val="24"/>
        </w:rPr>
        <w:t>4.</w:t>
      </w:r>
      <w:r>
        <w:rPr>
          <w:rFonts w:ascii="Arial" w:hAnsi="Arial" w:cs="Arial"/>
          <w:bCs/>
          <w:sz w:val="24"/>
          <w:szCs w:val="24"/>
        </w:rPr>
        <w:tab/>
      </w:r>
      <w:r w:rsidR="00B80AA7" w:rsidRPr="00E20185">
        <w:rPr>
          <w:rFonts w:ascii="Arial" w:hAnsi="Arial" w:cs="Arial"/>
          <w:bCs/>
          <w:sz w:val="24"/>
          <w:szCs w:val="24"/>
        </w:rPr>
        <w:t>The appellant is in person, and M</w:t>
      </w:r>
      <w:r w:rsidR="003D2392" w:rsidRPr="00E20185">
        <w:rPr>
          <w:rFonts w:ascii="Arial" w:hAnsi="Arial" w:cs="Arial"/>
          <w:bCs/>
          <w:sz w:val="24"/>
          <w:szCs w:val="24"/>
        </w:rPr>
        <w:t xml:space="preserve">s Patterson </w:t>
      </w:r>
      <w:r w:rsidR="00B80AA7" w:rsidRPr="00E20185">
        <w:rPr>
          <w:rFonts w:ascii="Arial" w:hAnsi="Arial" w:cs="Arial"/>
          <w:bCs/>
          <w:sz w:val="24"/>
          <w:szCs w:val="24"/>
        </w:rPr>
        <w:t xml:space="preserve">acts for the </w:t>
      </w:r>
      <w:r w:rsidR="00E86E17" w:rsidRPr="00E20185">
        <w:rPr>
          <w:rFonts w:ascii="Arial" w:hAnsi="Arial" w:cs="Arial"/>
          <w:bCs/>
          <w:sz w:val="24"/>
          <w:szCs w:val="24"/>
        </w:rPr>
        <w:t>D</w:t>
      </w:r>
      <w:r w:rsidR="00B80AA7" w:rsidRPr="00E20185">
        <w:rPr>
          <w:rFonts w:ascii="Arial" w:hAnsi="Arial" w:cs="Arial"/>
          <w:bCs/>
          <w:sz w:val="24"/>
          <w:szCs w:val="24"/>
        </w:rPr>
        <w:t>epartment.</w:t>
      </w:r>
      <w:r w:rsidR="00B75369">
        <w:rPr>
          <w:rFonts w:ascii="Arial" w:hAnsi="Arial" w:cs="Arial"/>
          <w:bCs/>
          <w:sz w:val="24"/>
          <w:szCs w:val="24"/>
        </w:rPr>
        <w:t xml:space="preserve"> </w:t>
      </w:r>
      <w:r w:rsidR="00B80AA7" w:rsidRPr="00E20185">
        <w:rPr>
          <w:rFonts w:ascii="Arial" w:hAnsi="Arial" w:cs="Arial"/>
          <w:bCs/>
          <w:sz w:val="24"/>
          <w:szCs w:val="24"/>
        </w:rPr>
        <w:t xml:space="preserve"> </w:t>
      </w:r>
      <w:r w:rsidR="00B80AA7" w:rsidRPr="00E20185">
        <w:rPr>
          <w:rFonts w:ascii="Arial" w:hAnsi="Arial" w:cs="Arial"/>
          <w:sz w:val="24"/>
          <w:szCs w:val="24"/>
        </w:rPr>
        <w:t xml:space="preserve">An oral hearing is not necessary for justice to be done. </w:t>
      </w:r>
      <w:r w:rsidR="00B75369">
        <w:rPr>
          <w:rFonts w:ascii="Arial" w:hAnsi="Arial" w:cs="Arial"/>
          <w:sz w:val="24"/>
          <w:szCs w:val="24"/>
        </w:rPr>
        <w:t xml:space="preserve"> </w:t>
      </w:r>
      <w:r w:rsidR="00B80AA7" w:rsidRPr="00E20185">
        <w:rPr>
          <w:rFonts w:ascii="Arial" w:hAnsi="Arial" w:cs="Arial"/>
          <w:sz w:val="24"/>
          <w:szCs w:val="24"/>
        </w:rPr>
        <w:t>I am able to decide the matter fairly on the papers before me.</w:t>
      </w:r>
    </w:p>
    <w:p w14:paraId="403DCC78" w14:textId="77777777" w:rsidR="006F61FF" w:rsidRPr="00E20185" w:rsidRDefault="006F61FF" w:rsidP="002B087B">
      <w:pPr>
        <w:pStyle w:val="ListParagraph"/>
        <w:tabs>
          <w:tab w:val="left" w:pos="510"/>
          <w:tab w:val="left" w:pos="1077"/>
          <w:tab w:val="left" w:pos="1797"/>
        </w:tabs>
        <w:spacing w:after="0" w:line="240" w:lineRule="auto"/>
        <w:ind w:left="510" w:hanging="510"/>
        <w:rPr>
          <w:rFonts w:ascii="Arial" w:hAnsi="Arial" w:cs="Arial"/>
          <w:bCs/>
          <w:sz w:val="24"/>
          <w:szCs w:val="24"/>
        </w:rPr>
      </w:pPr>
    </w:p>
    <w:p w14:paraId="1DD9F34F" w14:textId="6857760A" w:rsidR="006F61FF" w:rsidRPr="00E20185" w:rsidRDefault="002B087B" w:rsidP="002B087B">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r>
        <w:rPr>
          <w:rFonts w:ascii="Arial" w:hAnsi="Arial" w:cs="Arial"/>
          <w:bCs/>
          <w:sz w:val="24"/>
          <w:szCs w:val="24"/>
        </w:rPr>
        <w:t>5.</w:t>
      </w:r>
      <w:r>
        <w:rPr>
          <w:rFonts w:ascii="Arial" w:hAnsi="Arial" w:cs="Arial"/>
          <w:bCs/>
          <w:sz w:val="24"/>
          <w:szCs w:val="24"/>
        </w:rPr>
        <w:tab/>
      </w:r>
      <w:r w:rsidR="00B80AA7" w:rsidRPr="00E20185">
        <w:rPr>
          <w:rFonts w:ascii="Arial" w:hAnsi="Arial" w:cs="Arial"/>
          <w:bCs/>
          <w:sz w:val="24"/>
          <w:szCs w:val="24"/>
        </w:rPr>
        <w:t xml:space="preserve">The </w:t>
      </w:r>
      <w:r w:rsidR="007E2E11" w:rsidRPr="00E20185">
        <w:rPr>
          <w:rFonts w:ascii="Arial" w:hAnsi="Arial" w:cs="Arial"/>
          <w:bCs/>
          <w:sz w:val="24"/>
          <w:szCs w:val="24"/>
        </w:rPr>
        <w:t>Department</w:t>
      </w:r>
      <w:r w:rsidR="00B80AA7" w:rsidRPr="00E20185">
        <w:rPr>
          <w:rFonts w:ascii="Arial" w:hAnsi="Arial" w:cs="Arial"/>
          <w:bCs/>
          <w:sz w:val="24"/>
          <w:szCs w:val="24"/>
        </w:rPr>
        <w:t xml:space="preserve"> has had the opportunity to make observations through </w:t>
      </w:r>
      <w:r w:rsidR="003D2392" w:rsidRPr="00E20185">
        <w:rPr>
          <w:rFonts w:ascii="Arial" w:hAnsi="Arial" w:cs="Arial"/>
          <w:bCs/>
          <w:sz w:val="24"/>
          <w:szCs w:val="24"/>
        </w:rPr>
        <w:t>Ms Patterson.  Although</w:t>
      </w:r>
      <w:r w:rsidR="00B80AA7" w:rsidRPr="00E20185">
        <w:rPr>
          <w:rFonts w:ascii="Arial" w:hAnsi="Arial" w:cs="Arial"/>
          <w:bCs/>
          <w:sz w:val="24"/>
          <w:szCs w:val="24"/>
        </w:rPr>
        <w:t xml:space="preserve"> </w:t>
      </w:r>
      <w:r w:rsidR="003D2392" w:rsidRPr="00E20185">
        <w:rPr>
          <w:rFonts w:ascii="Arial" w:hAnsi="Arial" w:cs="Arial"/>
          <w:bCs/>
          <w:sz w:val="24"/>
          <w:szCs w:val="24"/>
        </w:rPr>
        <w:t>s</w:t>
      </w:r>
      <w:r w:rsidR="00B80AA7" w:rsidRPr="00E20185">
        <w:rPr>
          <w:rFonts w:ascii="Arial" w:hAnsi="Arial" w:cs="Arial"/>
          <w:bCs/>
          <w:sz w:val="24"/>
          <w:szCs w:val="24"/>
        </w:rPr>
        <w:t xml:space="preserve">he </w:t>
      </w:r>
      <w:r w:rsidR="003D2392" w:rsidRPr="00E20185">
        <w:rPr>
          <w:rFonts w:ascii="Arial" w:hAnsi="Arial" w:cs="Arial"/>
          <w:bCs/>
          <w:sz w:val="24"/>
          <w:szCs w:val="24"/>
        </w:rPr>
        <w:t xml:space="preserve">does not </w:t>
      </w:r>
      <w:r w:rsidR="00B80AA7" w:rsidRPr="00E20185">
        <w:rPr>
          <w:rFonts w:ascii="Arial" w:hAnsi="Arial" w:cs="Arial"/>
          <w:bCs/>
          <w:sz w:val="24"/>
          <w:szCs w:val="24"/>
        </w:rPr>
        <w:t xml:space="preserve">support the appeal, </w:t>
      </w:r>
      <w:r w:rsidR="003D2392" w:rsidRPr="00E20185">
        <w:rPr>
          <w:rFonts w:ascii="Arial" w:hAnsi="Arial" w:cs="Arial"/>
          <w:bCs/>
          <w:sz w:val="24"/>
          <w:szCs w:val="24"/>
        </w:rPr>
        <w:t xml:space="preserve">she </w:t>
      </w:r>
      <w:r w:rsidR="00B80AA7" w:rsidRPr="00E20185">
        <w:rPr>
          <w:rFonts w:ascii="Arial" w:hAnsi="Arial" w:cs="Arial"/>
          <w:bCs/>
          <w:sz w:val="24"/>
          <w:szCs w:val="24"/>
        </w:rPr>
        <w:t xml:space="preserve">is content that I decide </w:t>
      </w:r>
      <w:r w:rsidR="00DA0823" w:rsidRPr="00E20185">
        <w:rPr>
          <w:rFonts w:ascii="Arial" w:hAnsi="Arial" w:cs="Arial"/>
          <w:bCs/>
          <w:sz w:val="24"/>
          <w:szCs w:val="24"/>
        </w:rPr>
        <w:t xml:space="preserve">it </w:t>
      </w:r>
      <w:r w:rsidR="00B80AA7" w:rsidRPr="00E20185">
        <w:rPr>
          <w:rFonts w:ascii="Arial" w:hAnsi="Arial" w:cs="Arial"/>
          <w:bCs/>
          <w:sz w:val="24"/>
          <w:szCs w:val="24"/>
        </w:rPr>
        <w:t xml:space="preserve">without further reference to the </w:t>
      </w:r>
      <w:r w:rsidR="00E86E17" w:rsidRPr="00E20185">
        <w:rPr>
          <w:rFonts w:ascii="Arial" w:hAnsi="Arial" w:cs="Arial"/>
          <w:bCs/>
          <w:sz w:val="24"/>
          <w:szCs w:val="24"/>
        </w:rPr>
        <w:t>D</w:t>
      </w:r>
      <w:r w:rsidR="00B80AA7" w:rsidRPr="00E20185">
        <w:rPr>
          <w:rFonts w:ascii="Arial" w:hAnsi="Arial" w:cs="Arial"/>
          <w:bCs/>
          <w:sz w:val="24"/>
          <w:szCs w:val="24"/>
        </w:rPr>
        <w:t>epartment if I</w:t>
      </w:r>
      <w:r w:rsidR="003D2392" w:rsidRPr="00E20185">
        <w:rPr>
          <w:rFonts w:ascii="Arial" w:hAnsi="Arial" w:cs="Arial"/>
          <w:bCs/>
          <w:sz w:val="24"/>
          <w:szCs w:val="24"/>
        </w:rPr>
        <w:t xml:space="preserve"> </w:t>
      </w:r>
      <w:r w:rsidR="00B80AA7" w:rsidRPr="00E20185">
        <w:rPr>
          <w:rFonts w:ascii="Arial" w:hAnsi="Arial" w:cs="Arial"/>
          <w:bCs/>
          <w:sz w:val="24"/>
          <w:szCs w:val="24"/>
        </w:rPr>
        <w:t>grant leave.</w:t>
      </w:r>
    </w:p>
    <w:p w14:paraId="4D57DDC3" w14:textId="77777777" w:rsidR="006F61FF" w:rsidRPr="00E20185" w:rsidRDefault="006F61FF" w:rsidP="002B087B">
      <w:pPr>
        <w:pStyle w:val="ListParagraph"/>
        <w:tabs>
          <w:tab w:val="left" w:pos="510"/>
          <w:tab w:val="left" w:pos="1077"/>
          <w:tab w:val="left" w:pos="1797"/>
        </w:tabs>
        <w:spacing w:after="0" w:line="240" w:lineRule="auto"/>
        <w:ind w:left="510" w:hanging="510"/>
        <w:rPr>
          <w:rFonts w:ascii="Arial" w:hAnsi="Arial" w:cs="Arial"/>
          <w:bCs/>
          <w:sz w:val="24"/>
          <w:szCs w:val="24"/>
        </w:rPr>
      </w:pPr>
    </w:p>
    <w:p w14:paraId="3EE3674B" w14:textId="030D04DD" w:rsidR="00503518" w:rsidRPr="00E20185" w:rsidRDefault="002B087B" w:rsidP="002B087B">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r>
        <w:rPr>
          <w:rFonts w:ascii="Arial" w:hAnsi="Arial" w:cs="Arial"/>
          <w:bCs/>
          <w:sz w:val="24"/>
          <w:szCs w:val="24"/>
        </w:rPr>
        <w:t>6.</w:t>
      </w:r>
      <w:r>
        <w:rPr>
          <w:rFonts w:ascii="Arial" w:hAnsi="Arial" w:cs="Arial"/>
          <w:bCs/>
          <w:sz w:val="24"/>
          <w:szCs w:val="24"/>
        </w:rPr>
        <w:tab/>
      </w:r>
      <w:r w:rsidR="00B80AA7" w:rsidRPr="00E20185">
        <w:rPr>
          <w:rFonts w:ascii="Arial" w:hAnsi="Arial" w:cs="Arial"/>
          <w:bCs/>
          <w:sz w:val="24"/>
          <w:szCs w:val="24"/>
        </w:rPr>
        <w:t>In all the circumstances I am able to deal now with both the application for leave and the substantive appeal.</w:t>
      </w:r>
    </w:p>
    <w:p w14:paraId="34FE7FD7" w14:textId="77777777" w:rsidR="00503518" w:rsidRPr="00E20185" w:rsidRDefault="00503518" w:rsidP="00A306AA">
      <w:pPr>
        <w:pStyle w:val="ListParagraph"/>
        <w:tabs>
          <w:tab w:val="left" w:pos="510"/>
          <w:tab w:val="left" w:pos="1077"/>
          <w:tab w:val="left" w:pos="1797"/>
        </w:tabs>
        <w:spacing w:after="0" w:line="240" w:lineRule="auto"/>
        <w:ind w:left="0"/>
        <w:rPr>
          <w:rFonts w:ascii="Arial" w:hAnsi="Arial" w:cs="Arial"/>
          <w:b/>
          <w:sz w:val="24"/>
          <w:szCs w:val="24"/>
          <w:u w:val="single"/>
        </w:rPr>
      </w:pPr>
    </w:p>
    <w:p w14:paraId="227B1B8C" w14:textId="7B257B19" w:rsidR="00503518" w:rsidRPr="00E20185" w:rsidRDefault="00C25420" w:rsidP="00A306AA">
      <w:pPr>
        <w:tabs>
          <w:tab w:val="left" w:pos="510"/>
          <w:tab w:val="left" w:pos="1077"/>
          <w:tab w:val="left" w:pos="1797"/>
        </w:tabs>
        <w:spacing w:after="0" w:line="240" w:lineRule="auto"/>
        <w:jc w:val="both"/>
        <w:rPr>
          <w:rFonts w:ascii="Arial" w:eastAsia="Times New Roman" w:hAnsi="Arial" w:cs="Arial"/>
          <w:bCs/>
          <w:sz w:val="24"/>
          <w:szCs w:val="24"/>
          <w:u w:val="single"/>
        </w:rPr>
      </w:pPr>
      <w:r w:rsidRPr="00C25420">
        <w:rPr>
          <w:rFonts w:ascii="Arial" w:hAnsi="Arial" w:cs="Arial"/>
          <w:b/>
          <w:sz w:val="24"/>
          <w:szCs w:val="24"/>
        </w:rPr>
        <w:tab/>
      </w:r>
      <w:r w:rsidR="00B80AA7" w:rsidRPr="00E20185">
        <w:rPr>
          <w:rFonts w:ascii="Arial" w:hAnsi="Arial" w:cs="Arial"/>
          <w:b/>
          <w:sz w:val="24"/>
          <w:szCs w:val="24"/>
          <w:u w:val="single"/>
        </w:rPr>
        <w:t>Background</w:t>
      </w:r>
    </w:p>
    <w:p w14:paraId="67DC856D" w14:textId="77777777" w:rsidR="00503518" w:rsidRPr="00E20185" w:rsidRDefault="00503518" w:rsidP="00A306AA">
      <w:pPr>
        <w:pStyle w:val="ListParagraph"/>
        <w:tabs>
          <w:tab w:val="left" w:pos="510"/>
          <w:tab w:val="left" w:pos="1077"/>
          <w:tab w:val="left" w:pos="1797"/>
        </w:tabs>
        <w:spacing w:after="0" w:line="240" w:lineRule="auto"/>
        <w:ind w:left="0"/>
        <w:rPr>
          <w:rFonts w:ascii="Arial" w:hAnsi="Arial" w:cs="Arial"/>
          <w:sz w:val="24"/>
          <w:szCs w:val="24"/>
        </w:rPr>
      </w:pPr>
    </w:p>
    <w:p w14:paraId="11F78FF3" w14:textId="30EC72E2" w:rsidR="00503518" w:rsidRDefault="00B55D3D" w:rsidP="00B55D3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B80AA7" w:rsidRPr="00E20185">
        <w:rPr>
          <w:rFonts w:ascii="Arial" w:hAnsi="Arial" w:cs="Arial"/>
          <w:sz w:val="24"/>
          <w:szCs w:val="24"/>
        </w:rPr>
        <w:t xml:space="preserve">The appeal </w:t>
      </w:r>
      <w:r w:rsidR="003D2392" w:rsidRPr="00E20185">
        <w:rPr>
          <w:rFonts w:ascii="Arial" w:hAnsi="Arial" w:cs="Arial"/>
          <w:sz w:val="24"/>
          <w:szCs w:val="24"/>
        </w:rPr>
        <w:t>was</w:t>
      </w:r>
      <w:r w:rsidR="00B80AA7" w:rsidRPr="00E20185">
        <w:rPr>
          <w:rFonts w:ascii="Arial" w:hAnsi="Arial" w:cs="Arial"/>
          <w:sz w:val="24"/>
          <w:szCs w:val="24"/>
        </w:rPr>
        <w:t xml:space="preserve"> about entitlement to PIP.  </w:t>
      </w:r>
      <w:r w:rsidR="00EE299A" w:rsidRPr="00E20185">
        <w:rPr>
          <w:rFonts w:ascii="Arial" w:hAnsi="Arial" w:cs="Arial"/>
          <w:sz w:val="24"/>
          <w:szCs w:val="24"/>
        </w:rPr>
        <w:t xml:space="preserve">The appellant’s main health problems date from a traumatic injury in 2018, in which he sustained a crushing injury to his foot. </w:t>
      </w:r>
      <w:r w:rsidR="00C25420">
        <w:rPr>
          <w:rFonts w:ascii="Arial" w:hAnsi="Arial" w:cs="Arial"/>
          <w:sz w:val="24"/>
          <w:szCs w:val="24"/>
        </w:rPr>
        <w:t xml:space="preserve"> </w:t>
      </w:r>
      <w:r w:rsidR="00EE299A" w:rsidRPr="00E20185">
        <w:rPr>
          <w:rFonts w:ascii="Arial" w:hAnsi="Arial" w:cs="Arial"/>
          <w:sz w:val="24"/>
          <w:szCs w:val="24"/>
        </w:rPr>
        <w:t>The physical problems persist alongside an anxiety disorder which he did not suffer from before</w:t>
      </w:r>
      <w:r w:rsidR="00E86E17" w:rsidRPr="00E20185">
        <w:rPr>
          <w:rFonts w:ascii="Arial" w:hAnsi="Arial" w:cs="Arial"/>
          <w:sz w:val="24"/>
          <w:szCs w:val="24"/>
        </w:rPr>
        <w:t xml:space="preserve"> the accident</w:t>
      </w:r>
      <w:r w:rsidR="00EE299A" w:rsidRPr="00E20185">
        <w:rPr>
          <w:rFonts w:ascii="Arial" w:hAnsi="Arial" w:cs="Arial"/>
          <w:sz w:val="24"/>
          <w:szCs w:val="24"/>
        </w:rPr>
        <w:t xml:space="preserve">. </w:t>
      </w:r>
      <w:r w:rsidR="00C25420">
        <w:rPr>
          <w:rFonts w:ascii="Arial" w:hAnsi="Arial" w:cs="Arial"/>
          <w:sz w:val="24"/>
          <w:szCs w:val="24"/>
        </w:rPr>
        <w:t xml:space="preserve"> </w:t>
      </w:r>
      <w:r w:rsidR="00EE299A" w:rsidRPr="00E20185">
        <w:rPr>
          <w:rFonts w:ascii="Arial" w:hAnsi="Arial" w:cs="Arial"/>
          <w:sz w:val="24"/>
          <w:szCs w:val="24"/>
        </w:rPr>
        <w:t xml:space="preserve">He </w:t>
      </w:r>
      <w:r w:rsidR="00B80AA7" w:rsidRPr="00E20185">
        <w:rPr>
          <w:rFonts w:ascii="Arial" w:hAnsi="Arial" w:cs="Arial"/>
          <w:sz w:val="24"/>
          <w:szCs w:val="24"/>
        </w:rPr>
        <w:t xml:space="preserve">made </w:t>
      </w:r>
      <w:r w:rsidR="003D2392" w:rsidRPr="00E20185">
        <w:rPr>
          <w:rFonts w:ascii="Arial" w:hAnsi="Arial" w:cs="Arial"/>
          <w:sz w:val="24"/>
          <w:szCs w:val="24"/>
        </w:rPr>
        <w:t>his</w:t>
      </w:r>
      <w:r w:rsidR="00B80AA7" w:rsidRPr="00E20185">
        <w:rPr>
          <w:rFonts w:ascii="Arial" w:hAnsi="Arial" w:cs="Arial"/>
          <w:sz w:val="24"/>
          <w:szCs w:val="24"/>
        </w:rPr>
        <w:t xml:space="preserve"> claim</w:t>
      </w:r>
      <w:r w:rsidR="00EE299A" w:rsidRPr="00E20185">
        <w:rPr>
          <w:rFonts w:ascii="Arial" w:hAnsi="Arial" w:cs="Arial"/>
          <w:sz w:val="24"/>
          <w:szCs w:val="24"/>
        </w:rPr>
        <w:t xml:space="preserve"> for PIP</w:t>
      </w:r>
      <w:r w:rsidR="00B80AA7" w:rsidRPr="00E20185">
        <w:rPr>
          <w:rFonts w:ascii="Arial" w:hAnsi="Arial" w:cs="Arial"/>
          <w:sz w:val="24"/>
          <w:szCs w:val="24"/>
        </w:rPr>
        <w:t xml:space="preserve"> on</w:t>
      </w:r>
      <w:r w:rsidR="003D2392" w:rsidRPr="00E20185">
        <w:rPr>
          <w:rFonts w:ascii="Arial" w:hAnsi="Arial" w:cs="Arial"/>
          <w:sz w:val="24"/>
          <w:szCs w:val="24"/>
        </w:rPr>
        <w:t xml:space="preserve"> 20 September 2021</w:t>
      </w:r>
      <w:r w:rsidR="00B80AA7" w:rsidRPr="00E20185">
        <w:rPr>
          <w:rFonts w:ascii="Arial" w:hAnsi="Arial" w:cs="Arial"/>
          <w:sz w:val="24"/>
          <w:szCs w:val="24"/>
        </w:rPr>
        <w:t xml:space="preserve">, and underwent an assessment over the telephone on </w:t>
      </w:r>
      <w:r w:rsidR="003D2392" w:rsidRPr="00E20185">
        <w:rPr>
          <w:rFonts w:ascii="Arial" w:hAnsi="Arial" w:cs="Arial"/>
          <w:sz w:val="24"/>
          <w:szCs w:val="24"/>
        </w:rPr>
        <w:t>21 December of the same year</w:t>
      </w:r>
      <w:r w:rsidR="00B80AA7" w:rsidRPr="00E20185">
        <w:rPr>
          <w:rFonts w:ascii="Arial" w:hAnsi="Arial" w:cs="Arial"/>
          <w:sz w:val="24"/>
          <w:szCs w:val="24"/>
        </w:rPr>
        <w:t>.  The healthcare professional who spoke to h</w:t>
      </w:r>
      <w:r w:rsidR="00D8637E" w:rsidRPr="00E20185">
        <w:rPr>
          <w:rFonts w:ascii="Arial" w:hAnsi="Arial" w:cs="Arial"/>
          <w:sz w:val="24"/>
          <w:szCs w:val="24"/>
        </w:rPr>
        <w:t xml:space="preserve">im </w:t>
      </w:r>
      <w:r w:rsidR="00B80AA7" w:rsidRPr="00E20185">
        <w:rPr>
          <w:rFonts w:ascii="Arial" w:hAnsi="Arial" w:cs="Arial"/>
          <w:sz w:val="24"/>
          <w:szCs w:val="24"/>
        </w:rPr>
        <w:t>was of t</w:t>
      </w:r>
      <w:r w:rsidR="00D8637E" w:rsidRPr="00E20185">
        <w:rPr>
          <w:rFonts w:ascii="Arial" w:hAnsi="Arial" w:cs="Arial"/>
          <w:sz w:val="24"/>
          <w:szCs w:val="24"/>
        </w:rPr>
        <w:t>he view that no</w:t>
      </w:r>
      <w:r w:rsidR="00B80AA7" w:rsidRPr="00E20185">
        <w:rPr>
          <w:rFonts w:ascii="Arial" w:hAnsi="Arial" w:cs="Arial"/>
          <w:sz w:val="24"/>
          <w:szCs w:val="24"/>
        </w:rPr>
        <w:t xml:space="preserve"> points </w:t>
      </w:r>
      <w:r w:rsidR="00D8637E" w:rsidRPr="00E20185">
        <w:rPr>
          <w:rFonts w:ascii="Arial" w:hAnsi="Arial" w:cs="Arial"/>
          <w:sz w:val="24"/>
          <w:szCs w:val="24"/>
        </w:rPr>
        <w:t xml:space="preserve">were merited either </w:t>
      </w:r>
      <w:r w:rsidR="00B80AA7" w:rsidRPr="00E20185">
        <w:rPr>
          <w:rFonts w:ascii="Arial" w:hAnsi="Arial" w:cs="Arial"/>
          <w:sz w:val="24"/>
          <w:szCs w:val="24"/>
        </w:rPr>
        <w:t>for the problems in daily living activities</w:t>
      </w:r>
      <w:r w:rsidR="00D8637E" w:rsidRPr="00E20185">
        <w:rPr>
          <w:rFonts w:ascii="Arial" w:hAnsi="Arial" w:cs="Arial"/>
          <w:sz w:val="24"/>
          <w:szCs w:val="24"/>
        </w:rPr>
        <w:t xml:space="preserve"> or</w:t>
      </w:r>
      <w:r w:rsidR="00B80AA7" w:rsidRPr="00E20185">
        <w:rPr>
          <w:rFonts w:ascii="Arial" w:hAnsi="Arial" w:cs="Arial"/>
          <w:sz w:val="24"/>
          <w:szCs w:val="24"/>
        </w:rPr>
        <w:t xml:space="preserve"> under the mobility descriptors.  On </w:t>
      </w:r>
      <w:r w:rsidR="009D0F21" w:rsidRPr="00E20185">
        <w:rPr>
          <w:rFonts w:ascii="Arial" w:hAnsi="Arial" w:cs="Arial"/>
          <w:sz w:val="24"/>
          <w:szCs w:val="24"/>
        </w:rPr>
        <w:t xml:space="preserve">31 January 2022 </w:t>
      </w:r>
      <w:r w:rsidR="006D70B8" w:rsidRPr="00E20185">
        <w:rPr>
          <w:rFonts w:ascii="Arial" w:hAnsi="Arial" w:cs="Arial"/>
          <w:sz w:val="24"/>
          <w:szCs w:val="24"/>
        </w:rPr>
        <w:t xml:space="preserve">the </w:t>
      </w:r>
      <w:r w:rsidR="00B80AA7" w:rsidRPr="00E20185">
        <w:rPr>
          <w:rFonts w:ascii="Arial" w:hAnsi="Arial" w:cs="Arial"/>
          <w:sz w:val="24"/>
          <w:szCs w:val="24"/>
        </w:rPr>
        <w:t>decision maker accepted that recommendation.</w:t>
      </w:r>
    </w:p>
    <w:p w14:paraId="7087DEB7" w14:textId="77777777" w:rsidR="00B55D3D" w:rsidRPr="00E20185" w:rsidRDefault="00B55D3D" w:rsidP="00B55D3D">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p>
    <w:p w14:paraId="615A1F96" w14:textId="5128F772" w:rsidR="00503518" w:rsidRPr="00E20185" w:rsidRDefault="00B55D3D" w:rsidP="00B55D3D">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r>
        <w:rPr>
          <w:rFonts w:ascii="Arial" w:hAnsi="Arial" w:cs="Arial"/>
          <w:sz w:val="24"/>
          <w:szCs w:val="24"/>
        </w:rPr>
        <w:t>8.</w:t>
      </w:r>
      <w:r>
        <w:rPr>
          <w:rFonts w:ascii="Arial" w:hAnsi="Arial" w:cs="Arial"/>
          <w:sz w:val="24"/>
          <w:szCs w:val="24"/>
        </w:rPr>
        <w:tab/>
      </w:r>
      <w:r w:rsidR="00B80AA7" w:rsidRPr="00E20185">
        <w:rPr>
          <w:rFonts w:ascii="Arial" w:hAnsi="Arial" w:cs="Arial"/>
          <w:sz w:val="24"/>
          <w:szCs w:val="24"/>
        </w:rPr>
        <w:t>Following the mandatory reconsideration procedure</w:t>
      </w:r>
      <w:r w:rsidR="006D70B8" w:rsidRPr="00E20185">
        <w:rPr>
          <w:rFonts w:ascii="Arial" w:hAnsi="Arial" w:cs="Arial"/>
          <w:sz w:val="24"/>
          <w:szCs w:val="24"/>
        </w:rPr>
        <w:t xml:space="preserve"> on 1 June 2022,</w:t>
      </w:r>
      <w:r w:rsidR="00B80AA7" w:rsidRPr="00E20185">
        <w:rPr>
          <w:rFonts w:ascii="Arial" w:hAnsi="Arial" w:cs="Arial"/>
          <w:sz w:val="24"/>
          <w:szCs w:val="24"/>
        </w:rPr>
        <w:t xml:space="preserve"> which didn’t change that decision, the claimant appealed; the appeal was heard on </w:t>
      </w:r>
      <w:r w:rsidR="00D8637E" w:rsidRPr="00E20185">
        <w:rPr>
          <w:rFonts w:ascii="Arial" w:hAnsi="Arial" w:cs="Arial"/>
          <w:sz w:val="24"/>
          <w:szCs w:val="24"/>
        </w:rPr>
        <w:t>25 January</w:t>
      </w:r>
      <w:r w:rsidR="00B80AA7" w:rsidRPr="00E20185">
        <w:rPr>
          <w:rFonts w:ascii="Arial" w:hAnsi="Arial" w:cs="Arial"/>
          <w:sz w:val="24"/>
          <w:szCs w:val="24"/>
        </w:rPr>
        <w:t xml:space="preserve"> 2023.</w:t>
      </w:r>
    </w:p>
    <w:p w14:paraId="597AB42D" w14:textId="77777777" w:rsidR="00503518" w:rsidRPr="00E20185" w:rsidRDefault="00503518" w:rsidP="00B55D3D">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p>
    <w:p w14:paraId="535F17C2" w14:textId="72BED486" w:rsidR="00503518" w:rsidRPr="00E20185" w:rsidRDefault="00B55D3D" w:rsidP="00B55D3D">
      <w:pPr>
        <w:tabs>
          <w:tab w:val="left" w:pos="510"/>
          <w:tab w:val="left" w:pos="1077"/>
          <w:tab w:val="left" w:pos="1797"/>
        </w:tabs>
        <w:spacing w:after="0" w:line="240" w:lineRule="auto"/>
        <w:ind w:left="510" w:hanging="510"/>
        <w:jc w:val="both"/>
        <w:rPr>
          <w:rFonts w:ascii="Arial" w:eastAsia="Times New Roman" w:hAnsi="Arial" w:cs="Arial"/>
          <w:bCs/>
          <w:sz w:val="24"/>
          <w:szCs w:val="24"/>
          <w:u w:val="single"/>
        </w:rPr>
      </w:pPr>
      <w:r>
        <w:rPr>
          <w:rFonts w:ascii="Arial" w:hAnsi="Arial" w:cs="Arial"/>
          <w:sz w:val="24"/>
          <w:szCs w:val="24"/>
        </w:rPr>
        <w:t>9.</w:t>
      </w:r>
      <w:r>
        <w:rPr>
          <w:rFonts w:ascii="Arial" w:hAnsi="Arial" w:cs="Arial"/>
          <w:sz w:val="24"/>
          <w:szCs w:val="24"/>
        </w:rPr>
        <w:tab/>
      </w:r>
      <w:r w:rsidR="00B80AA7" w:rsidRPr="00E20185">
        <w:rPr>
          <w:rFonts w:ascii="Arial" w:hAnsi="Arial" w:cs="Arial"/>
          <w:sz w:val="24"/>
          <w:szCs w:val="24"/>
        </w:rPr>
        <w:t xml:space="preserve">The tribunal </w:t>
      </w:r>
      <w:r w:rsidR="009D0F21" w:rsidRPr="00E20185">
        <w:rPr>
          <w:rFonts w:ascii="Arial" w:hAnsi="Arial" w:cs="Arial"/>
          <w:sz w:val="24"/>
          <w:szCs w:val="24"/>
        </w:rPr>
        <w:t xml:space="preserve">awarded </w:t>
      </w:r>
      <w:r w:rsidR="00B80AA7" w:rsidRPr="00E20185">
        <w:rPr>
          <w:rFonts w:ascii="Arial" w:hAnsi="Arial" w:cs="Arial"/>
          <w:sz w:val="24"/>
          <w:szCs w:val="24"/>
        </w:rPr>
        <w:t>point</w:t>
      </w:r>
      <w:r w:rsidR="00D8637E" w:rsidRPr="00E20185">
        <w:rPr>
          <w:rFonts w:ascii="Arial" w:hAnsi="Arial" w:cs="Arial"/>
          <w:sz w:val="24"/>
          <w:szCs w:val="24"/>
        </w:rPr>
        <w:t>s under the daily living activities</w:t>
      </w:r>
      <w:r w:rsidR="00B80AA7" w:rsidRPr="00E20185">
        <w:rPr>
          <w:rFonts w:ascii="Arial" w:hAnsi="Arial" w:cs="Arial"/>
          <w:sz w:val="24"/>
          <w:szCs w:val="24"/>
        </w:rPr>
        <w:t xml:space="preserve"> for difficulties in </w:t>
      </w:r>
      <w:r w:rsidR="00D8637E" w:rsidRPr="00E20185">
        <w:rPr>
          <w:rFonts w:ascii="Arial" w:hAnsi="Arial" w:cs="Arial"/>
          <w:sz w:val="24"/>
          <w:szCs w:val="24"/>
        </w:rPr>
        <w:t>bathing</w:t>
      </w:r>
      <w:r w:rsidR="009D0F21" w:rsidRPr="00E20185">
        <w:rPr>
          <w:rFonts w:ascii="Arial" w:hAnsi="Arial" w:cs="Arial"/>
          <w:sz w:val="24"/>
          <w:szCs w:val="24"/>
        </w:rPr>
        <w:t xml:space="preserve">, </w:t>
      </w:r>
      <w:r w:rsidR="00D8637E" w:rsidRPr="00E20185">
        <w:rPr>
          <w:rFonts w:ascii="Arial" w:hAnsi="Arial" w:cs="Arial"/>
          <w:sz w:val="24"/>
          <w:szCs w:val="24"/>
        </w:rPr>
        <w:t>4e, 3 points</w:t>
      </w:r>
      <w:r w:rsidR="009D0F21" w:rsidRPr="00E20185">
        <w:rPr>
          <w:rFonts w:ascii="Arial" w:hAnsi="Arial" w:cs="Arial"/>
          <w:sz w:val="24"/>
          <w:szCs w:val="24"/>
        </w:rPr>
        <w:t xml:space="preserve">, </w:t>
      </w:r>
      <w:r w:rsidR="00D8637E" w:rsidRPr="00E20185">
        <w:rPr>
          <w:rFonts w:ascii="Arial" w:hAnsi="Arial" w:cs="Arial"/>
          <w:sz w:val="24"/>
          <w:szCs w:val="24"/>
        </w:rPr>
        <w:t xml:space="preserve">and two further points, the genesis of which is unclear, but I ascribe them to activity 9b. </w:t>
      </w:r>
      <w:r>
        <w:rPr>
          <w:rFonts w:ascii="Arial" w:hAnsi="Arial" w:cs="Arial"/>
          <w:sz w:val="24"/>
          <w:szCs w:val="24"/>
        </w:rPr>
        <w:t xml:space="preserve"> </w:t>
      </w:r>
      <w:r w:rsidR="00D8637E" w:rsidRPr="00E20185">
        <w:rPr>
          <w:rFonts w:ascii="Arial" w:hAnsi="Arial" w:cs="Arial"/>
          <w:sz w:val="24"/>
          <w:szCs w:val="24"/>
        </w:rPr>
        <w:t>The</w:t>
      </w:r>
      <w:r w:rsidR="00B80AA7" w:rsidRPr="00E20185">
        <w:rPr>
          <w:rFonts w:ascii="Arial" w:hAnsi="Arial" w:cs="Arial"/>
          <w:sz w:val="24"/>
          <w:szCs w:val="24"/>
        </w:rPr>
        <w:t xml:space="preserve"> requirement of eight points for </w:t>
      </w:r>
      <w:r w:rsidR="009D0F21" w:rsidRPr="00E20185">
        <w:rPr>
          <w:rFonts w:ascii="Arial" w:hAnsi="Arial" w:cs="Arial"/>
          <w:sz w:val="24"/>
          <w:szCs w:val="24"/>
        </w:rPr>
        <w:t>the</w:t>
      </w:r>
      <w:r w:rsidR="00B80AA7" w:rsidRPr="00E20185">
        <w:rPr>
          <w:rFonts w:ascii="Arial" w:hAnsi="Arial" w:cs="Arial"/>
          <w:sz w:val="24"/>
          <w:szCs w:val="24"/>
        </w:rPr>
        <w:t xml:space="preserve"> standard award of the daily living component was not met.</w:t>
      </w:r>
      <w:r w:rsidR="00D8637E" w:rsidRPr="00E20185">
        <w:rPr>
          <w:rFonts w:ascii="Arial" w:hAnsi="Arial" w:cs="Arial"/>
          <w:sz w:val="24"/>
          <w:szCs w:val="24"/>
        </w:rPr>
        <w:t xml:space="preserve"> </w:t>
      </w:r>
      <w:r>
        <w:rPr>
          <w:rFonts w:ascii="Arial" w:hAnsi="Arial" w:cs="Arial"/>
          <w:sz w:val="24"/>
          <w:szCs w:val="24"/>
        </w:rPr>
        <w:t xml:space="preserve"> </w:t>
      </w:r>
      <w:r w:rsidR="00D8637E" w:rsidRPr="00E20185">
        <w:rPr>
          <w:rFonts w:ascii="Arial" w:hAnsi="Arial" w:cs="Arial"/>
          <w:sz w:val="24"/>
          <w:szCs w:val="24"/>
        </w:rPr>
        <w:t xml:space="preserve">The </w:t>
      </w:r>
      <w:r w:rsidR="00D8637E" w:rsidRPr="00E20185">
        <w:rPr>
          <w:rFonts w:ascii="Arial" w:hAnsi="Arial" w:cs="Arial"/>
          <w:sz w:val="24"/>
          <w:szCs w:val="24"/>
        </w:rPr>
        <w:lastRenderedPageBreak/>
        <w:t>award of mobility was made under activity 2</w:t>
      </w:r>
      <w:r w:rsidR="00EE299A" w:rsidRPr="00E20185">
        <w:rPr>
          <w:rFonts w:ascii="Arial" w:hAnsi="Arial" w:cs="Arial"/>
          <w:sz w:val="24"/>
          <w:szCs w:val="24"/>
        </w:rPr>
        <w:t>c, 8 points</w:t>
      </w:r>
      <w:r w:rsidR="00D8637E" w:rsidRPr="00E20185">
        <w:rPr>
          <w:rFonts w:ascii="Arial" w:hAnsi="Arial" w:cs="Arial"/>
          <w:sz w:val="24"/>
          <w:szCs w:val="24"/>
        </w:rPr>
        <w:t>.  The tribunal went on to consider whether further points might be scored under the other mobility activity for difficulties in</w:t>
      </w:r>
      <w:r w:rsidR="00EE299A" w:rsidRPr="00E20185">
        <w:rPr>
          <w:rFonts w:ascii="Arial" w:hAnsi="Arial" w:cs="Arial"/>
          <w:sz w:val="24"/>
          <w:szCs w:val="24"/>
        </w:rPr>
        <w:t xml:space="preserve"> following a route, but</w:t>
      </w:r>
      <w:r w:rsidR="00D8637E" w:rsidRPr="00E20185">
        <w:rPr>
          <w:rFonts w:ascii="Arial" w:hAnsi="Arial" w:cs="Arial"/>
          <w:sz w:val="24"/>
          <w:szCs w:val="24"/>
        </w:rPr>
        <w:t xml:space="preserve"> </w:t>
      </w:r>
      <w:r w:rsidR="00EE299A" w:rsidRPr="00E20185">
        <w:rPr>
          <w:rFonts w:ascii="Arial" w:hAnsi="Arial" w:cs="Arial"/>
          <w:sz w:val="24"/>
          <w:szCs w:val="24"/>
        </w:rPr>
        <w:t>its</w:t>
      </w:r>
      <w:r w:rsidR="00D8637E" w:rsidRPr="00E20185">
        <w:rPr>
          <w:rFonts w:ascii="Arial" w:hAnsi="Arial" w:cs="Arial"/>
          <w:sz w:val="24"/>
          <w:szCs w:val="24"/>
        </w:rPr>
        <w:t xml:space="preserve"> conclusion was in the negative.</w:t>
      </w:r>
    </w:p>
    <w:p w14:paraId="021F5F86" w14:textId="77777777" w:rsidR="00503518" w:rsidRPr="00E20185" w:rsidRDefault="00503518" w:rsidP="00A306AA">
      <w:pPr>
        <w:pStyle w:val="ListParagraph"/>
        <w:tabs>
          <w:tab w:val="left" w:pos="510"/>
          <w:tab w:val="left" w:pos="1077"/>
          <w:tab w:val="left" w:pos="1797"/>
        </w:tabs>
        <w:spacing w:after="0" w:line="240" w:lineRule="auto"/>
        <w:ind w:left="0"/>
        <w:rPr>
          <w:rFonts w:ascii="Arial" w:hAnsi="Arial" w:cs="Arial"/>
          <w:b/>
          <w:sz w:val="24"/>
          <w:szCs w:val="24"/>
          <w:u w:val="single"/>
        </w:rPr>
      </w:pPr>
    </w:p>
    <w:p w14:paraId="08A03654" w14:textId="5D1115FE" w:rsidR="00503518" w:rsidRPr="00E20185" w:rsidRDefault="007B05BA" w:rsidP="00A306AA">
      <w:pPr>
        <w:tabs>
          <w:tab w:val="left" w:pos="510"/>
          <w:tab w:val="left" w:pos="1077"/>
          <w:tab w:val="left" w:pos="1797"/>
        </w:tabs>
        <w:spacing w:after="0" w:line="240" w:lineRule="auto"/>
        <w:jc w:val="both"/>
        <w:rPr>
          <w:rFonts w:ascii="Arial" w:eastAsia="Times New Roman" w:hAnsi="Arial" w:cs="Arial"/>
          <w:bCs/>
          <w:sz w:val="24"/>
          <w:szCs w:val="24"/>
          <w:u w:val="single"/>
        </w:rPr>
      </w:pPr>
      <w:r w:rsidRPr="007B05BA">
        <w:rPr>
          <w:rFonts w:ascii="Arial" w:hAnsi="Arial" w:cs="Arial"/>
          <w:b/>
          <w:sz w:val="24"/>
          <w:szCs w:val="24"/>
        </w:rPr>
        <w:tab/>
      </w:r>
      <w:r w:rsidR="00B80AA7" w:rsidRPr="00E20185">
        <w:rPr>
          <w:rFonts w:ascii="Arial" w:hAnsi="Arial" w:cs="Arial"/>
          <w:b/>
          <w:sz w:val="24"/>
          <w:szCs w:val="24"/>
          <w:u w:val="single"/>
        </w:rPr>
        <w:t>The arguments of the parties</w:t>
      </w:r>
    </w:p>
    <w:p w14:paraId="0550F329" w14:textId="77777777" w:rsidR="00503518" w:rsidRPr="00E20185" w:rsidRDefault="00503518" w:rsidP="00A306AA">
      <w:pPr>
        <w:pStyle w:val="ListParagraph"/>
        <w:tabs>
          <w:tab w:val="left" w:pos="510"/>
          <w:tab w:val="left" w:pos="1077"/>
          <w:tab w:val="left" w:pos="1797"/>
        </w:tabs>
        <w:spacing w:after="0" w:line="240" w:lineRule="auto"/>
        <w:ind w:left="0"/>
        <w:rPr>
          <w:rFonts w:ascii="Arial" w:hAnsi="Arial" w:cs="Arial"/>
          <w:b/>
          <w:sz w:val="24"/>
          <w:szCs w:val="24"/>
        </w:rPr>
      </w:pPr>
    </w:p>
    <w:p w14:paraId="0D8D30AC" w14:textId="7385AB67" w:rsidR="00503518" w:rsidRPr="00E20185" w:rsidRDefault="007B05BA" w:rsidP="00A306AA">
      <w:pPr>
        <w:tabs>
          <w:tab w:val="left" w:pos="510"/>
          <w:tab w:val="left" w:pos="1077"/>
          <w:tab w:val="left" w:pos="1797"/>
        </w:tabs>
        <w:spacing w:after="0" w:line="240" w:lineRule="auto"/>
        <w:jc w:val="both"/>
        <w:rPr>
          <w:rFonts w:ascii="Arial" w:eastAsia="Times New Roman" w:hAnsi="Arial" w:cs="Arial"/>
          <w:bCs/>
          <w:sz w:val="24"/>
          <w:szCs w:val="24"/>
          <w:u w:val="single"/>
        </w:rPr>
      </w:pPr>
      <w:r>
        <w:rPr>
          <w:rFonts w:ascii="Arial" w:hAnsi="Arial" w:cs="Arial"/>
          <w:b/>
          <w:sz w:val="24"/>
          <w:szCs w:val="24"/>
        </w:rPr>
        <w:tab/>
      </w:r>
      <w:r w:rsidR="00B80AA7" w:rsidRPr="00E20185">
        <w:rPr>
          <w:rFonts w:ascii="Arial" w:hAnsi="Arial" w:cs="Arial"/>
          <w:b/>
          <w:sz w:val="24"/>
          <w:szCs w:val="24"/>
        </w:rPr>
        <w:t>The appellant</w:t>
      </w:r>
    </w:p>
    <w:p w14:paraId="7C90F752" w14:textId="77777777" w:rsidR="00503518" w:rsidRPr="00E20185" w:rsidRDefault="00503518" w:rsidP="00A306AA">
      <w:pPr>
        <w:tabs>
          <w:tab w:val="left" w:pos="510"/>
          <w:tab w:val="left" w:pos="1077"/>
          <w:tab w:val="left" w:pos="1797"/>
        </w:tabs>
        <w:spacing w:after="0" w:line="240" w:lineRule="auto"/>
        <w:jc w:val="both"/>
        <w:rPr>
          <w:rFonts w:ascii="Arial" w:eastAsia="Times New Roman" w:hAnsi="Arial" w:cs="Arial"/>
          <w:bCs/>
          <w:sz w:val="24"/>
          <w:szCs w:val="24"/>
          <w:u w:val="single"/>
        </w:rPr>
      </w:pPr>
    </w:p>
    <w:p w14:paraId="606D10FA" w14:textId="6C848E4D" w:rsidR="00D8637E" w:rsidRDefault="007B05BA" w:rsidP="007E55B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D8637E" w:rsidRPr="00E20185">
        <w:rPr>
          <w:rFonts w:ascii="Arial" w:hAnsi="Arial" w:cs="Arial"/>
          <w:sz w:val="24"/>
          <w:szCs w:val="24"/>
        </w:rPr>
        <w:t>The appellant has</w:t>
      </w:r>
      <w:r w:rsidR="006D70B8" w:rsidRPr="00E20185">
        <w:rPr>
          <w:rFonts w:ascii="Arial" w:hAnsi="Arial" w:cs="Arial"/>
          <w:sz w:val="24"/>
          <w:szCs w:val="24"/>
        </w:rPr>
        <w:t xml:space="preserve"> made</w:t>
      </w:r>
      <w:r w:rsidR="00D8637E" w:rsidRPr="00E20185">
        <w:rPr>
          <w:rFonts w:ascii="Arial" w:hAnsi="Arial" w:cs="Arial"/>
          <w:sz w:val="24"/>
          <w:szCs w:val="24"/>
        </w:rPr>
        <w:t xml:space="preserve"> a </w:t>
      </w:r>
      <w:r w:rsidR="00EE299A" w:rsidRPr="00E20185">
        <w:rPr>
          <w:rFonts w:ascii="Arial" w:hAnsi="Arial" w:cs="Arial"/>
          <w:sz w:val="24"/>
          <w:szCs w:val="24"/>
        </w:rPr>
        <w:t xml:space="preserve">thorough </w:t>
      </w:r>
      <w:r w:rsidR="00D8637E" w:rsidRPr="00E20185">
        <w:rPr>
          <w:rFonts w:ascii="Arial" w:hAnsi="Arial" w:cs="Arial"/>
          <w:sz w:val="24"/>
          <w:szCs w:val="24"/>
        </w:rPr>
        <w:t>application</w:t>
      </w:r>
      <w:r w:rsidR="006D70B8" w:rsidRPr="00E20185">
        <w:rPr>
          <w:rFonts w:ascii="Arial" w:hAnsi="Arial" w:cs="Arial"/>
          <w:sz w:val="24"/>
          <w:szCs w:val="24"/>
        </w:rPr>
        <w:t>,</w:t>
      </w:r>
      <w:r w:rsidR="00D8637E" w:rsidRPr="00E20185">
        <w:rPr>
          <w:rFonts w:ascii="Arial" w:hAnsi="Arial" w:cs="Arial"/>
          <w:sz w:val="24"/>
          <w:szCs w:val="24"/>
        </w:rPr>
        <w:t xml:space="preserve"> identifying areas in which he argues that the tribunal erred in law </w:t>
      </w:r>
      <w:r w:rsidR="00EE299A" w:rsidRPr="00E20185">
        <w:rPr>
          <w:rFonts w:ascii="Arial" w:hAnsi="Arial" w:cs="Arial"/>
          <w:sz w:val="24"/>
          <w:szCs w:val="24"/>
        </w:rPr>
        <w:t>as</w:t>
      </w:r>
      <w:r w:rsidR="00D8637E" w:rsidRPr="00E20185">
        <w:rPr>
          <w:rFonts w:ascii="Arial" w:hAnsi="Arial" w:cs="Arial"/>
          <w:sz w:val="24"/>
          <w:szCs w:val="24"/>
        </w:rPr>
        <w:t xml:space="preserve"> follow</w:t>
      </w:r>
      <w:r w:rsidR="00EE299A" w:rsidRPr="00E20185">
        <w:rPr>
          <w:rFonts w:ascii="Arial" w:hAnsi="Arial" w:cs="Arial"/>
          <w:sz w:val="24"/>
          <w:szCs w:val="24"/>
        </w:rPr>
        <w:t>s</w:t>
      </w:r>
      <w:r w:rsidR="00D8637E" w:rsidRPr="00E20185">
        <w:rPr>
          <w:rFonts w:ascii="Arial" w:hAnsi="Arial" w:cs="Arial"/>
          <w:sz w:val="24"/>
          <w:szCs w:val="24"/>
        </w:rPr>
        <w:t>:</w:t>
      </w:r>
    </w:p>
    <w:p w14:paraId="51DBF7A6" w14:textId="77777777" w:rsidR="00142639" w:rsidRPr="00E20185" w:rsidRDefault="00142639" w:rsidP="00142639">
      <w:pPr>
        <w:tabs>
          <w:tab w:val="left" w:pos="510"/>
          <w:tab w:val="left" w:pos="1077"/>
          <w:tab w:val="left" w:pos="1797"/>
        </w:tabs>
        <w:spacing w:after="0" w:line="240" w:lineRule="auto"/>
        <w:jc w:val="both"/>
        <w:rPr>
          <w:rFonts w:ascii="Arial" w:eastAsia="Times New Roman" w:hAnsi="Arial" w:cs="Arial"/>
          <w:bCs/>
          <w:sz w:val="24"/>
          <w:szCs w:val="24"/>
          <w:u w:val="single"/>
        </w:rPr>
      </w:pPr>
    </w:p>
    <w:p w14:paraId="53314154" w14:textId="571B457E" w:rsidR="00D8637E" w:rsidRDefault="007B05BA" w:rsidP="007B05BA">
      <w:pPr>
        <w:tabs>
          <w:tab w:val="left" w:pos="510"/>
          <w:tab w:val="left" w:pos="1077"/>
          <w:tab w:val="left" w:pos="1797"/>
        </w:tabs>
        <w:spacing w:after="0" w:line="240" w:lineRule="auto"/>
        <w:ind w:left="1077" w:hanging="1077"/>
        <w:jc w:val="both"/>
        <w:rPr>
          <w:rFonts w:ascii="Arial" w:hAnsi="Arial" w:cs="Arial"/>
          <w:bCs/>
          <w:sz w:val="24"/>
          <w:szCs w:val="24"/>
        </w:rPr>
      </w:pPr>
      <w:r>
        <w:rPr>
          <w:rFonts w:ascii="Arial" w:hAnsi="Arial" w:cs="Arial"/>
          <w:bCs/>
          <w:sz w:val="24"/>
          <w:szCs w:val="24"/>
        </w:rPr>
        <w:tab/>
        <w:t>(i)</w:t>
      </w:r>
      <w:r>
        <w:rPr>
          <w:rFonts w:ascii="Arial" w:hAnsi="Arial" w:cs="Arial"/>
          <w:bCs/>
          <w:sz w:val="24"/>
          <w:szCs w:val="24"/>
        </w:rPr>
        <w:tab/>
      </w:r>
      <w:r w:rsidR="001E66A1" w:rsidRPr="00142639">
        <w:rPr>
          <w:rFonts w:ascii="Arial" w:hAnsi="Arial" w:cs="Arial"/>
          <w:bCs/>
          <w:sz w:val="24"/>
          <w:szCs w:val="24"/>
        </w:rPr>
        <w:t>T</w:t>
      </w:r>
      <w:r w:rsidR="00D8637E" w:rsidRPr="00142639">
        <w:rPr>
          <w:rFonts w:ascii="Arial" w:hAnsi="Arial" w:cs="Arial"/>
          <w:bCs/>
          <w:sz w:val="24"/>
          <w:szCs w:val="24"/>
        </w:rPr>
        <w:t>he tribunal ma</w:t>
      </w:r>
      <w:r w:rsidR="006D70B8" w:rsidRPr="00142639">
        <w:rPr>
          <w:rFonts w:ascii="Arial" w:hAnsi="Arial" w:cs="Arial"/>
          <w:bCs/>
          <w:sz w:val="24"/>
          <w:szCs w:val="24"/>
        </w:rPr>
        <w:t>de</w:t>
      </w:r>
      <w:r w:rsidR="00D8637E" w:rsidRPr="00142639">
        <w:rPr>
          <w:rFonts w:ascii="Arial" w:hAnsi="Arial" w:cs="Arial"/>
          <w:bCs/>
          <w:sz w:val="24"/>
          <w:szCs w:val="24"/>
        </w:rPr>
        <w:t xml:space="preserve"> perverse findings of fact in two instances</w:t>
      </w:r>
      <w:r w:rsidR="006D70B8" w:rsidRPr="00142639">
        <w:rPr>
          <w:rFonts w:ascii="Arial" w:hAnsi="Arial" w:cs="Arial"/>
          <w:bCs/>
          <w:sz w:val="24"/>
          <w:szCs w:val="24"/>
        </w:rPr>
        <w:t>:</w:t>
      </w:r>
      <w:r w:rsidR="00D8637E" w:rsidRPr="00142639">
        <w:rPr>
          <w:rFonts w:ascii="Arial" w:hAnsi="Arial" w:cs="Arial"/>
          <w:bCs/>
          <w:sz w:val="24"/>
          <w:szCs w:val="24"/>
        </w:rPr>
        <w:t xml:space="preserve"> first</w:t>
      </w:r>
      <w:r w:rsidR="006D70B8" w:rsidRPr="00142639">
        <w:rPr>
          <w:rFonts w:ascii="Arial" w:hAnsi="Arial" w:cs="Arial"/>
          <w:bCs/>
          <w:sz w:val="24"/>
          <w:szCs w:val="24"/>
        </w:rPr>
        <w:t>ly, they</w:t>
      </w:r>
      <w:r w:rsidR="00D8637E" w:rsidRPr="00142639">
        <w:rPr>
          <w:rFonts w:ascii="Arial" w:hAnsi="Arial" w:cs="Arial"/>
          <w:bCs/>
          <w:sz w:val="24"/>
          <w:szCs w:val="24"/>
        </w:rPr>
        <w:t xml:space="preserve"> state the appellant takes s</w:t>
      </w:r>
      <w:r w:rsidR="006D70B8" w:rsidRPr="00142639">
        <w:rPr>
          <w:rFonts w:ascii="Arial" w:hAnsi="Arial" w:cs="Arial"/>
          <w:bCs/>
          <w:sz w:val="24"/>
          <w:szCs w:val="24"/>
        </w:rPr>
        <w:t>ertraline,</w:t>
      </w:r>
      <w:r w:rsidR="00D8637E" w:rsidRPr="00142639">
        <w:rPr>
          <w:rFonts w:ascii="Arial" w:hAnsi="Arial" w:cs="Arial"/>
          <w:bCs/>
          <w:sz w:val="24"/>
          <w:szCs w:val="24"/>
        </w:rPr>
        <w:t xml:space="preserve"> and secondly that he is able to attend classes and courses without difficulty.</w:t>
      </w:r>
    </w:p>
    <w:p w14:paraId="00749586" w14:textId="77777777" w:rsidR="00142639" w:rsidRPr="00142639" w:rsidRDefault="00142639" w:rsidP="007B05BA">
      <w:pPr>
        <w:tabs>
          <w:tab w:val="left" w:pos="510"/>
          <w:tab w:val="left" w:pos="1077"/>
          <w:tab w:val="left" w:pos="1797"/>
        </w:tabs>
        <w:spacing w:after="0" w:line="240" w:lineRule="auto"/>
        <w:ind w:left="1077" w:hanging="1077"/>
        <w:jc w:val="both"/>
        <w:rPr>
          <w:rFonts w:ascii="Arial" w:hAnsi="Arial" w:cs="Arial"/>
          <w:bCs/>
          <w:sz w:val="24"/>
          <w:szCs w:val="24"/>
        </w:rPr>
      </w:pPr>
    </w:p>
    <w:p w14:paraId="23A40CAF" w14:textId="6B95BD0F" w:rsidR="00D8637E" w:rsidRDefault="007B05BA" w:rsidP="007B05BA">
      <w:pPr>
        <w:tabs>
          <w:tab w:val="left" w:pos="510"/>
          <w:tab w:val="left" w:pos="1077"/>
          <w:tab w:val="left" w:pos="1797"/>
        </w:tabs>
        <w:spacing w:after="0" w:line="240" w:lineRule="auto"/>
        <w:ind w:left="1077" w:hanging="1077"/>
        <w:jc w:val="both"/>
        <w:rPr>
          <w:rFonts w:ascii="Arial" w:hAnsi="Arial" w:cs="Arial"/>
          <w:bCs/>
          <w:sz w:val="24"/>
          <w:szCs w:val="24"/>
        </w:rPr>
      </w:pPr>
      <w:r>
        <w:rPr>
          <w:rFonts w:ascii="Arial" w:hAnsi="Arial" w:cs="Arial"/>
          <w:bCs/>
          <w:sz w:val="24"/>
          <w:szCs w:val="24"/>
        </w:rPr>
        <w:tab/>
        <w:t>(ii)</w:t>
      </w:r>
      <w:r>
        <w:rPr>
          <w:rFonts w:ascii="Arial" w:hAnsi="Arial" w:cs="Arial"/>
          <w:bCs/>
          <w:sz w:val="24"/>
          <w:szCs w:val="24"/>
        </w:rPr>
        <w:tab/>
      </w:r>
      <w:r w:rsidR="00D8637E" w:rsidRPr="00142639">
        <w:rPr>
          <w:rFonts w:ascii="Arial" w:hAnsi="Arial" w:cs="Arial"/>
          <w:bCs/>
          <w:sz w:val="24"/>
          <w:szCs w:val="24"/>
        </w:rPr>
        <w:t xml:space="preserve">The tribunal </w:t>
      </w:r>
      <w:r w:rsidR="006D70B8" w:rsidRPr="00142639">
        <w:rPr>
          <w:rFonts w:ascii="Arial" w:hAnsi="Arial" w:cs="Arial"/>
          <w:bCs/>
          <w:sz w:val="24"/>
          <w:szCs w:val="24"/>
        </w:rPr>
        <w:t xml:space="preserve">gave </w:t>
      </w:r>
      <w:r w:rsidR="000D577F" w:rsidRPr="00142639">
        <w:rPr>
          <w:rFonts w:ascii="Arial" w:hAnsi="Arial" w:cs="Arial"/>
          <w:bCs/>
          <w:sz w:val="24"/>
          <w:szCs w:val="24"/>
        </w:rPr>
        <w:t>insufficient</w:t>
      </w:r>
      <w:r w:rsidR="00D8637E" w:rsidRPr="00142639">
        <w:rPr>
          <w:rFonts w:ascii="Arial" w:hAnsi="Arial" w:cs="Arial"/>
          <w:bCs/>
          <w:sz w:val="24"/>
          <w:szCs w:val="24"/>
        </w:rPr>
        <w:t xml:space="preserve"> reasons</w:t>
      </w:r>
      <w:r w:rsidR="006D70B8" w:rsidRPr="00142639">
        <w:rPr>
          <w:rFonts w:ascii="Arial" w:hAnsi="Arial" w:cs="Arial"/>
          <w:bCs/>
          <w:sz w:val="24"/>
          <w:szCs w:val="24"/>
        </w:rPr>
        <w:t xml:space="preserve">, </w:t>
      </w:r>
      <w:r w:rsidR="00D8637E" w:rsidRPr="00142639">
        <w:rPr>
          <w:rFonts w:ascii="Arial" w:hAnsi="Arial" w:cs="Arial"/>
          <w:bCs/>
          <w:sz w:val="24"/>
          <w:szCs w:val="24"/>
        </w:rPr>
        <w:t xml:space="preserve">stating that the appellant has a condition capable of improvement with </w:t>
      </w:r>
      <w:r w:rsidR="006D70B8" w:rsidRPr="00142639">
        <w:rPr>
          <w:rFonts w:ascii="Arial" w:hAnsi="Arial" w:cs="Arial"/>
          <w:bCs/>
          <w:sz w:val="24"/>
          <w:szCs w:val="24"/>
        </w:rPr>
        <w:t>further physiotherapy</w:t>
      </w:r>
      <w:r w:rsidR="00D8637E" w:rsidRPr="00142639">
        <w:rPr>
          <w:rFonts w:ascii="Arial" w:hAnsi="Arial" w:cs="Arial"/>
          <w:bCs/>
          <w:sz w:val="24"/>
          <w:szCs w:val="24"/>
        </w:rPr>
        <w:t xml:space="preserve"> and with the use of or</w:t>
      </w:r>
      <w:r w:rsidR="006D70B8" w:rsidRPr="00142639">
        <w:rPr>
          <w:rFonts w:ascii="Arial" w:hAnsi="Arial" w:cs="Arial"/>
          <w:bCs/>
          <w:sz w:val="24"/>
          <w:szCs w:val="24"/>
        </w:rPr>
        <w:t>thotic aids,</w:t>
      </w:r>
      <w:r w:rsidR="00D8637E" w:rsidRPr="00142639">
        <w:rPr>
          <w:rFonts w:ascii="Arial" w:hAnsi="Arial" w:cs="Arial"/>
          <w:bCs/>
          <w:sz w:val="24"/>
          <w:szCs w:val="24"/>
        </w:rPr>
        <w:t xml:space="preserve"> and awarding him the mobility component for a three year period.  It is contended that does not reflect the reality of living </w:t>
      </w:r>
      <w:r w:rsidR="006D70B8" w:rsidRPr="00142639">
        <w:rPr>
          <w:rFonts w:ascii="Arial" w:hAnsi="Arial" w:cs="Arial"/>
          <w:bCs/>
          <w:sz w:val="24"/>
          <w:szCs w:val="24"/>
        </w:rPr>
        <w:t xml:space="preserve">with </w:t>
      </w:r>
      <w:r w:rsidR="00D8637E" w:rsidRPr="00142639">
        <w:rPr>
          <w:rFonts w:ascii="Arial" w:hAnsi="Arial" w:cs="Arial"/>
          <w:bCs/>
          <w:sz w:val="24"/>
          <w:szCs w:val="24"/>
        </w:rPr>
        <w:t>chronic pain, muscle wasting and stress.</w:t>
      </w:r>
    </w:p>
    <w:p w14:paraId="6ADC84B9" w14:textId="77777777" w:rsidR="00142639" w:rsidRPr="00142639" w:rsidRDefault="00142639" w:rsidP="007B05BA">
      <w:pPr>
        <w:tabs>
          <w:tab w:val="left" w:pos="510"/>
          <w:tab w:val="left" w:pos="1077"/>
          <w:tab w:val="left" w:pos="1797"/>
        </w:tabs>
        <w:spacing w:after="0" w:line="240" w:lineRule="auto"/>
        <w:ind w:left="1077" w:hanging="1077"/>
        <w:jc w:val="both"/>
        <w:rPr>
          <w:rFonts w:ascii="Arial" w:hAnsi="Arial" w:cs="Arial"/>
          <w:bCs/>
          <w:sz w:val="24"/>
          <w:szCs w:val="24"/>
        </w:rPr>
      </w:pPr>
    </w:p>
    <w:p w14:paraId="67874EE4" w14:textId="3B0A3D98" w:rsidR="006D70B8" w:rsidRPr="00142639" w:rsidRDefault="007B05BA" w:rsidP="007B05BA">
      <w:pPr>
        <w:tabs>
          <w:tab w:val="left" w:pos="510"/>
          <w:tab w:val="left" w:pos="1077"/>
          <w:tab w:val="left" w:pos="1797"/>
        </w:tabs>
        <w:spacing w:after="0" w:line="240" w:lineRule="auto"/>
        <w:ind w:left="1077" w:hanging="1077"/>
        <w:jc w:val="both"/>
        <w:rPr>
          <w:rFonts w:ascii="Arial" w:hAnsi="Arial" w:cs="Arial"/>
          <w:bCs/>
          <w:sz w:val="24"/>
          <w:szCs w:val="24"/>
        </w:rPr>
      </w:pPr>
      <w:r>
        <w:rPr>
          <w:rFonts w:ascii="Arial" w:hAnsi="Arial" w:cs="Arial"/>
          <w:bCs/>
          <w:sz w:val="24"/>
          <w:szCs w:val="24"/>
        </w:rPr>
        <w:tab/>
        <w:t>(iii)</w:t>
      </w:r>
      <w:r>
        <w:rPr>
          <w:rFonts w:ascii="Arial" w:hAnsi="Arial" w:cs="Arial"/>
          <w:bCs/>
          <w:sz w:val="24"/>
          <w:szCs w:val="24"/>
        </w:rPr>
        <w:tab/>
      </w:r>
      <w:r w:rsidR="00D8637E" w:rsidRPr="00142639">
        <w:rPr>
          <w:rFonts w:ascii="Arial" w:hAnsi="Arial" w:cs="Arial"/>
          <w:bCs/>
          <w:sz w:val="24"/>
          <w:szCs w:val="24"/>
        </w:rPr>
        <w:t>The tribunal’s finding that he has been discharged from</w:t>
      </w:r>
      <w:r w:rsidR="006D70B8" w:rsidRPr="00142639">
        <w:rPr>
          <w:rFonts w:ascii="Arial" w:hAnsi="Arial" w:cs="Arial"/>
          <w:bCs/>
          <w:sz w:val="24"/>
          <w:szCs w:val="24"/>
        </w:rPr>
        <w:t xml:space="preserve">, and currently </w:t>
      </w:r>
      <w:r w:rsidR="00D8637E" w:rsidRPr="00142639">
        <w:rPr>
          <w:rFonts w:ascii="Arial" w:hAnsi="Arial" w:cs="Arial"/>
          <w:bCs/>
          <w:sz w:val="24"/>
          <w:szCs w:val="24"/>
        </w:rPr>
        <w:t>receives no input from a specialist is incorrect.</w:t>
      </w:r>
    </w:p>
    <w:p w14:paraId="4CEA7F4E" w14:textId="77777777" w:rsidR="00D8637E" w:rsidRPr="00E20185" w:rsidRDefault="00D8637E" w:rsidP="00A306AA">
      <w:pPr>
        <w:tabs>
          <w:tab w:val="left" w:pos="510"/>
          <w:tab w:val="left" w:pos="1077"/>
          <w:tab w:val="left" w:pos="1797"/>
        </w:tabs>
        <w:spacing w:after="0" w:line="240" w:lineRule="auto"/>
        <w:jc w:val="both"/>
        <w:rPr>
          <w:rFonts w:ascii="Arial" w:hAnsi="Arial" w:cs="Arial"/>
          <w:bCs/>
          <w:sz w:val="24"/>
          <w:szCs w:val="24"/>
        </w:rPr>
      </w:pPr>
    </w:p>
    <w:p w14:paraId="5B22C48D" w14:textId="50F0B243" w:rsidR="001E66A1" w:rsidRPr="00E20185" w:rsidRDefault="007B05BA" w:rsidP="007B05BA">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1</w:t>
      </w:r>
      <w:r w:rsidR="00B00C32">
        <w:rPr>
          <w:rFonts w:ascii="Arial" w:hAnsi="Arial" w:cs="Arial"/>
          <w:sz w:val="24"/>
          <w:szCs w:val="24"/>
        </w:rPr>
        <w:t>1</w:t>
      </w:r>
      <w:r>
        <w:rPr>
          <w:rFonts w:ascii="Arial" w:hAnsi="Arial" w:cs="Arial"/>
          <w:sz w:val="24"/>
          <w:szCs w:val="24"/>
        </w:rPr>
        <w:t>.</w:t>
      </w:r>
      <w:r>
        <w:rPr>
          <w:rFonts w:ascii="Arial" w:hAnsi="Arial" w:cs="Arial"/>
          <w:sz w:val="24"/>
          <w:szCs w:val="24"/>
        </w:rPr>
        <w:tab/>
      </w:r>
      <w:r w:rsidR="00D8637E" w:rsidRPr="00E20185">
        <w:rPr>
          <w:rFonts w:ascii="Arial" w:hAnsi="Arial" w:cs="Arial"/>
          <w:sz w:val="24"/>
          <w:szCs w:val="24"/>
        </w:rPr>
        <w:t>I will return to these in so far as it is necessary below.</w:t>
      </w:r>
    </w:p>
    <w:p w14:paraId="5FDB40AB" w14:textId="77777777" w:rsidR="001E66A1" w:rsidRPr="007B05BA" w:rsidRDefault="001E66A1" w:rsidP="00A306AA">
      <w:pPr>
        <w:tabs>
          <w:tab w:val="left" w:pos="510"/>
          <w:tab w:val="left" w:pos="1077"/>
          <w:tab w:val="left" w:pos="1797"/>
        </w:tabs>
        <w:spacing w:after="0" w:line="240" w:lineRule="auto"/>
        <w:contextualSpacing/>
        <w:jc w:val="both"/>
        <w:rPr>
          <w:rFonts w:ascii="Arial" w:hAnsi="Arial" w:cs="Arial"/>
          <w:bCs/>
          <w:sz w:val="24"/>
          <w:szCs w:val="24"/>
        </w:rPr>
      </w:pPr>
    </w:p>
    <w:p w14:paraId="794CCC17" w14:textId="12E9BC0D" w:rsidR="001E66A1" w:rsidRPr="00E20185" w:rsidRDefault="007B05BA" w:rsidP="00A306AA">
      <w:pPr>
        <w:tabs>
          <w:tab w:val="left" w:pos="510"/>
          <w:tab w:val="left" w:pos="1077"/>
          <w:tab w:val="left" w:pos="1797"/>
        </w:tabs>
        <w:spacing w:after="0" w:line="240" w:lineRule="auto"/>
        <w:contextualSpacing/>
        <w:jc w:val="both"/>
        <w:rPr>
          <w:rFonts w:ascii="Arial" w:hAnsi="Arial" w:cs="Arial"/>
          <w:sz w:val="24"/>
          <w:szCs w:val="24"/>
        </w:rPr>
      </w:pPr>
      <w:r>
        <w:rPr>
          <w:rFonts w:ascii="Arial" w:hAnsi="Arial" w:cs="Arial"/>
          <w:b/>
          <w:sz w:val="24"/>
          <w:szCs w:val="24"/>
        </w:rPr>
        <w:tab/>
      </w:r>
      <w:r w:rsidR="00B80AA7" w:rsidRPr="00E20185">
        <w:rPr>
          <w:rFonts w:ascii="Arial" w:hAnsi="Arial" w:cs="Arial"/>
          <w:b/>
          <w:sz w:val="24"/>
          <w:szCs w:val="24"/>
        </w:rPr>
        <w:t>The respondent</w:t>
      </w:r>
    </w:p>
    <w:p w14:paraId="123E84BF" w14:textId="77777777" w:rsidR="001E66A1" w:rsidRPr="00E20185" w:rsidRDefault="001E66A1" w:rsidP="00A306AA">
      <w:pPr>
        <w:tabs>
          <w:tab w:val="left" w:pos="510"/>
          <w:tab w:val="left" w:pos="1077"/>
          <w:tab w:val="left" w:pos="1797"/>
        </w:tabs>
        <w:spacing w:after="0" w:line="240" w:lineRule="auto"/>
        <w:contextualSpacing/>
        <w:jc w:val="both"/>
        <w:rPr>
          <w:rFonts w:ascii="Arial" w:hAnsi="Arial" w:cs="Arial"/>
          <w:sz w:val="24"/>
          <w:szCs w:val="24"/>
        </w:rPr>
      </w:pPr>
    </w:p>
    <w:p w14:paraId="03774691" w14:textId="69570D37" w:rsidR="001E66A1" w:rsidRPr="00E20185" w:rsidRDefault="001329AD" w:rsidP="001329AD">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bCs/>
          <w:sz w:val="24"/>
          <w:szCs w:val="24"/>
        </w:rPr>
        <w:t>1</w:t>
      </w:r>
      <w:r w:rsidR="00B00C32">
        <w:rPr>
          <w:rFonts w:ascii="Arial" w:hAnsi="Arial" w:cs="Arial"/>
          <w:bCs/>
          <w:sz w:val="24"/>
          <w:szCs w:val="24"/>
        </w:rPr>
        <w:t>2</w:t>
      </w:r>
      <w:r>
        <w:rPr>
          <w:rFonts w:ascii="Arial" w:hAnsi="Arial" w:cs="Arial"/>
          <w:bCs/>
          <w:sz w:val="24"/>
          <w:szCs w:val="24"/>
        </w:rPr>
        <w:t>.</w:t>
      </w:r>
      <w:r>
        <w:rPr>
          <w:rFonts w:ascii="Arial" w:hAnsi="Arial" w:cs="Arial"/>
          <w:bCs/>
          <w:sz w:val="24"/>
          <w:szCs w:val="24"/>
        </w:rPr>
        <w:tab/>
      </w:r>
      <w:r w:rsidR="00B80AA7" w:rsidRPr="00E20185">
        <w:rPr>
          <w:rFonts w:ascii="Arial" w:hAnsi="Arial" w:cs="Arial"/>
          <w:bCs/>
          <w:sz w:val="24"/>
          <w:szCs w:val="24"/>
        </w:rPr>
        <w:t>In h</w:t>
      </w:r>
      <w:r w:rsidR="00D8637E" w:rsidRPr="00E20185">
        <w:rPr>
          <w:rFonts w:ascii="Arial" w:hAnsi="Arial" w:cs="Arial"/>
          <w:bCs/>
          <w:sz w:val="24"/>
          <w:szCs w:val="24"/>
        </w:rPr>
        <w:t>er</w:t>
      </w:r>
      <w:r w:rsidR="00B80AA7" w:rsidRPr="00E20185">
        <w:rPr>
          <w:rFonts w:ascii="Arial" w:hAnsi="Arial" w:cs="Arial"/>
          <w:bCs/>
          <w:sz w:val="24"/>
          <w:szCs w:val="24"/>
        </w:rPr>
        <w:t xml:space="preserve"> submission M</w:t>
      </w:r>
      <w:r w:rsidR="00D8637E" w:rsidRPr="00E20185">
        <w:rPr>
          <w:rFonts w:ascii="Arial" w:hAnsi="Arial" w:cs="Arial"/>
          <w:bCs/>
          <w:sz w:val="24"/>
          <w:szCs w:val="24"/>
        </w:rPr>
        <w:t>s Patterson</w:t>
      </w:r>
      <w:r w:rsidR="00B80AA7" w:rsidRPr="00E20185">
        <w:rPr>
          <w:rFonts w:ascii="Arial" w:hAnsi="Arial" w:cs="Arial"/>
          <w:bCs/>
          <w:sz w:val="24"/>
          <w:szCs w:val="24"/>
        </w:rPr>
        <w:t xml:space="preserve"> set</w:t>
      </w:r>
      <w:r w:rsidR="00D8637E" w:rsidRPr="00E20185">
        <w:rPr>
          <w:rFonts w:ascii="Arial" w:hAnsi="Arial" w:cs="Arial"/>
          <w:bCs/>
          <w:sz w:val="24"/>
          <w:szCs w:val="24"/>
        </w:rPr>
        <w:t>s</w:t>
      </w:r>
      <w:r w:rsidR="00B80AA7" w:rsidRPr="00E20185">
        <w:rPr>
          <w:rFonts w:ascii="Arial" w:hAnsi="Arial" w:cs="Arial"/>
          <w:bCs/>
          <w:sz w:val="24"/>
          <w:szCs w:val="24"/>
        </w:rPr>
        <w:t xml:space="preserve"> out the appellant’s argument</w:t>
      </w:r>
      <w:r w:rsidR="00D8637E" w:rsidRPr="00E20185">
        <w:rPr>
          <w:rFonts w:ascii="Arial" w:hAnsi="Arial" w:cs="Arial"/>
          <w:bCs/>
          <w:sz w:val="24"/>
          <w:szCs w:val="24"/>
        </w:rPr>
        <w:t xml:space="preserve">s, and deals with them in turn. </w:t>
      </w:r>
      <w:r>
        <w:rPr>
          <w:rFonts w:ascii="Arial" w:hAnsi="Arial" w:cs="Arial"/>
          <w:bCs/>
          <w:sz w:val="24"/>
          <w:szCs w:val="24"/>
        </w:rPr>
        <w:t xml:space="preserve"> </w:t>
      </w:r>
      <w:r w:rsidR="00D8637E" w:rsidRPr="00E20185">
        <w:rPr>
          <w:rFonts w:ascii="Arial" w:hAnsi="Arial" w:cs="Arial"/>
          <w:bCs/>
          <w:sz w:val="24"/>
          <w:szCs w:val="24"/>
        </w:rPr>
        <w:t>Much of what she argues accepts that errors were made by the tribunal, but, she says, the errors were not material</w:t>
      </w:r>
      <w:r w:rsidR="004A0936" w:rsidRPr="00E20185">
        <w:rPr>
          <w:rFonts w:ascii="Arial" w:hAnsi="Arial" w:cs="Arial"/>
          <w:bCs/>
          <w:sz w:val="24"/>
          <w:szCs w:val="24"/>
        </w:rPr>
        <w:t>.</w:t>
      </w:r>
    </w:p>
    <w:p w14:paraId="11DADE7A" w14:textId="77777777" w:rsidR="001E66A1" w:rsidRPr="00E20185" w:rsidRDefault="001E66A1" w:rsidP="001329AD">
      <w:pPr>
        <w:tabs>
          <w:tab w:val="left" w:pos="510"/>
          <w:tab w:val="left" w:pos="1077"/>
          <w:tab w:val="left" w:pos="1797"/>
        </w:tabs>
        <w:spacing w:after="0" w:line="240" w:lineRule="auto"/>
        <w:ind w:left="510" w:hanging="510"/>
        <w:contextualSpacing/>
        <w:jc w:val="both"/>
        <w:rPr>
          <w:rFonts w:ascii="Arial" w:hAnsi="Arial" w:cs="Arial"/>
          <w:sz w:val="24"/>
          <w:szCs w:val="24"/>
        </w:rPr>
      </w:pPr>
    </w:p>
    <w:p w14:paraId="1495B1D5" w14:textId="40C4735E" w:rsidR="00E10278" w:rsidRPr="00E20185" w:rsidRDefault="001329AD" w:rsidP="001329AD">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bCs/>
          <w:sz w:val="24"/>
          <w:szCs w:val="24"/>
        </w:rPr>
        <w:t>1</w:t>
      </w:r>
      <w:r w:rsidR="00B00C32">
        <w:rPr>
          <w:rFonts w:ascii="Arial" w:hAnsi="Arial" w:cs="Arial"/>
          <w:bCs/>
          <w:sz w:val="24"/>
          <w:szCs w:val="24"/>
        </w:rPr>
        <w:t>3</w:t>
      </w:r>
      <w:r>
        <w:rPr>
          <w:rFonts w:ascii="Arial" w:hAnsi="Arial" w:cs="Arial"/>
          <w:bCs/>
          <w:sz w:val="24"/>
          <w:szCs w:val="24"/>
        </w:rPr>
        <w:t>.</w:t>
      </w:r>
      <w:r>
        <w:rPr>
          <w:rFonts w:ascii="Arial" w:hAnsi="Arial" w:cs="Arial"/>
          <w:bCs/>
          <w:sz w:val="24"/>
          <w:szCs w:val="24"/>
        </w:rPr>
        <w:tab/>
      </w:r>
      <w:r w:rsidR="00D8637E" w:rsidRPr="00E20185">
        <w:rPr>
          <w:rFonts w:ascii="Arial" w:hAnsi="Arial" w:cs="Arial"/>
          <w:bCs/>
          <w:sz w:val="24"/>
          <w:szCs w:val="24"/>
        </w:rPr>
        <w:t>She offers a further issue as a potential error although again she rejects it as immaterial.  That is a matter I refer to above as the unexplained genesis of the two</w:t>
      </w:r>
      <w:r w:rsidR="00976FD8" w:rsidRPr="00E20185">
        <w:rPr>
          <w:rFonts w:ascii="Arial" w:hAnsi="Arial" w:cs="Arial"/>
          <w:bCs/>
          <w:sz w:val="24"/>
          <w:szCs w:val="24"/>
        </w:rPr>
        <w:t>-</w:t>
      </w:r>
      <w:r w:rsidR="00D8637E" w:rsidRPr="00E20185">
        <w:rPr>
          <w:rFonts w:ascii="Arial" w:hAnsi="Arial" w:cs="Arial"/>
          <w:bCs/>
          <w:sz w:val="24"/>
          <w:szCs w:val="24"/>
        </w:rPr>
        <w:t xml:space="preserve">point score under the daily living descriptors.  </w:t>
      </w:r>
      <w:r w:rsidR="00976FD8" w:rsidRPr="00E20185">
        <w:rPr>
          <w:rFonts w:ascii="Arial" w:hAnsi="Arial" w:cs="Arial"/>
          <w:bCs/>
          <w:sz w:val="24"/>
          <w:szCs w:val="24"/>
        </w:rPr>
        <w:t xml:space="preserve">Ms </w:t>
      </w:r>
      <w:r w:rsidR="004A0936" w:rsidRPr="00E20185">
        <w:rPr>
          <w:rFonts w:ascii="Arial" w:hAnsi="Arial" w:cs="Arial"/>
          <w:bCs/>
          <w:sz w:val="24"/>
          <w:szCs w:val="24"/>
        </w:rPr>
        <w:t>Patterson brought to my attention the fact that the decision notice issued by the tribunal, insofar as i</w:t>
      </w:r>
      <w:r w:rsidR="00084AF9" w:rsidRPr="00E20185">
        <w:rPr>
          <w:rFonts w:ascii="Arial" w:hAnsi="Arial" w:cs="Arial"/>
          <w:bCs/>
          <w:sz w:val="24"/>
          <w:szCs w:val="24"/>
        </w:rPr>
        <w:t>t</w:t>
      </w:r>
      <w:r w:rsidR="004A0936" w:rsidRPr="00E20185">
        <w:rPr>
          <w:rFonts w:ascii="Arial" w:hAnsi="Arial" w:cs="Arial"/>
          <w:bCs/>
          <w:sz w:val="24"/>
          <w:szCs w:val="24"/>
        </w:rPr>
        <w:t xml:space="preserve"> relat</w:t>
      </w:r>
      <w:r w:rsidR="00084AF9" w:rsidRPr="00E20185">
        <w:rPr>
          <w:rFonts w:ascii="Arial" w:hAnsi="Arial" w:cs="Arial"/>
          <w:bCs/>
          <w:sz w:val="24"/>
          <w:szCs w:val="24"/>
        </w:rPr>
        <w:t>ed</w:t>
      </w:r>
      <w:r w:rsidR="004A0936" w:rsidRPr="00E20185">
        <w:rPr>
          <w:rFonts w:ascii="Arial" w:hAnsi="Arial" w:cs="Arial"/>
          <w:bCs/>
          <w:sz w:val="24"/>
          <w:szCs w:val="24"/>
        </w:rPr>
        <w:t xml:space="preserve"> to the daily living component, showed that the tribunal made no</w:t>
      </w:r>
      <w:r w:rsidR="00976FD8" w:rsidRPr="00E20185">
        <w:rPr>
          <w:rFonts w:ascii="Arial" w:hAnsi="Arial" w:cs="Arial"/>
          <w:bCs/>
          <w:sz w:val="24"/>
          <w:szCs w:val="24"/>
        </w:rPr>
        <w:t>-</w:t>
      </w:r>
      <w:r w:rsidR="004A0936" w:rsidRPr="00E20185">
        <w:rPr>
          <w:rFonts w:ascii="Arial" w:hAnsi="Arial" w:cs="Arial"/>
          <w:bCs/>
          <w:sz w:val="24"/>
          <w:szCs w:val="24"/>
        </w:rPr>
        <w:t>point award</w:t>
      </w:r>
      <w:r w:rsidR="00976FD8" w:rsidRPr="00E20185">
        <w:rPr>
          <w:rFonts w:ascii="Arial" w:hAnsi="Arial" w:cs="Arial"/>
          <w:bCs/>
          <w:sz w:val="24"/>
          <w:szCs w:val="24"/>
        </w:rPr>
        <w:t>s</w:t>
      </w:r>
      <w:r w:rsidR="004A0936" w:rsidRPr="00E20185">
        <w:rPr>
          <w:rFonts w:ascii="Arial" w:hAnsi="Arial" w:cs="Arial"/>
          <w:bCs/>
          <w:sz w:val="24"/>
          <w:szCs w:val="24"/>
        </w:rPr>
        <w:t xml:space="preserve"> for all activities apart from activity 4 washing and bathing, where the 3</w:t>
      </w:r>
      <w:r w:rsidR="00976FD8" w:rsidRPr="00E20185">
        <w:rPr>
          <w:rFonts w:ascii="Arial" w:hAnsi="Arial" w:cs="Arial"/>
          <w:bCs/>
          <w:sz w:val="24"/>
          <w:szCs w:val="24"/>
        </w:rPr>
        <w:t xml:space="preserve"> point s</w:t>
      </w:r>
      <w:r w:rsidR="004A0936" w:rsidRPr="00E20185">
        <w:rPr>
          <w:rFonts w:ascii="Arial" w:hAnsi="Arial" w:cs="Arial"/>
          <w:bCs/>
          <w:sz w:val="24"/>
          <w:szCs w:val="24"/>
        </w:rPr>
        <w:t>coring descriptor 4e was selected, and activity 8, when the 2 point descriptor 8b was selected.  Activity 8 involve</w:t>
      </w:r>
      <w:r w:rsidR="00976FD8" w:rsidRPr="00E20185">
        <w:rPr>
          <w:rFonts w:ascii="Arial" w:hAnsi="Arial" w:cs="Arial"/>
          <w:bCs/>
          <w:sz w:val="24"/>
          <w:szCs w:val="24"/>
        </w:rPr>
        <w:t>s</w:t>
      </w:r>
      <w:r w:rsidR="004A0936" w:rsidRPr="00E20185">
        <w:rPr>
          <w:rFonts w:ascii="Arial" w:hAnsi="Arial" w:cs="Arial"/>
          <w:bCs/>
          <w:sz w:val="24"/>
          <w:szCs w:val="24"/>
        </w:rPr>
        <w:t xml:space="preserve"> reading and understanding signs, symbols and words</w:t>
      </w:r>
      <w:r w:rsidR="00976FD8" w:rsidRPr="00E20185">
        <w:rPr>
          <w:rFonts w:ascii="Arial" w:hAnsi="Arial" w:cs="Arial"/>
          <w:bCs/>
          <w:sz w:val="24"/>
          <w:szCs w:val="24"/>
        </w:rPr>
        <w:t>: t</w:t>
      </w:r>
      <w:r w:rsidR="004A0936" w:rsidRPr="00E20185">
        <w:rPr>
          <w:rFonts w:ascii="Arial" w:hAnsi="Arial" w:cs="Arial"/>
          <w:bCs/>
          <w:sz w:val="24"/>
          <w:szCs w:val="24"/>
        </w:rPr>
        <w:t>here was little indication in either the claim for</w:t>
      </w:r>
      <w:r w:rsidR="00976FD8" w:rsidRPr="00E20185">
        <w:rPr>
          <w:rFonts w:ascii="Arial" w:hAnsi="Arial" w:cs="Arial"/>
          <w:bCs/>
          <w:sz w:val="24"/>
          <w:szCs w:val="24"/>
        </w:rPr>
        <w:t xml:space="preserve">m or </w:t>
      </w:r>
      <w:r w:rsidR="004A0936" w:rsidRPr="00E20185">
        <w:rPr>
          <w:rFonts w:ascii="Arial" w:hAnsi="Arial" w:cs="Arial"/>
          <w:bCs/>
          <w:sz w:val="24"/>
          <w:szCs w:val="24"/>
        </w:rPr>
        <w:t xml:space="preserve">the </w:t>
      </w:r>
      <w:r w:rsidR="00976FD8" w:rsidRPr="00E20185">
        <w:rPr>
          <w:rFonts w:ascii="Arial" w:hAnsi="Arial" w:cs="Arial"/>
          <w:bCs/>
          <w:sz w:val="24"/>
          <w:szCs w:val="24"/>
        </w:rPr>
        <w:t xml:space="preserve">other </w:t>
      </w:r>
      <w:r w:rsidR="004A0936" w:rsidRPr="00E20185">
        <w:rPr>
          <w:rFonts w:ascii="Arial" w:hAnsi="Arial" w:cs="Arial"/>
          <w:bCs/>
          <w:sz w:val="24"/>
          <w:szCs w:val="24"/>
        </w:rPr>
        <w:t>evidence that such difficulties were being put forward.</w:t>
      </w:r>
    </w:p>
    <w:p w14:paraId="4DD4051B" w14:textId="77777777" w:rsidR="00E10278" w:rsidRPr="00E20185" w:rsidRDefault="00E10278" w:rsidP="001329AD">
      <w:pPr>
        <w:pStyle w:val="ListParagraph"/>
        <w:tabs>
          <w:tab w:val="left" w:pos="510"/>
          <w:tab w:val="left" w:pos="1077"/>
          <w:tab w:val="left" w:pos="1797"/>
        </w:tabs>
        <w:spacing w:after="0" w:line="240" w:lineRule="auto"/>
        <w:ind w:left="510" w:hanging="510"/>
        <w:rPr>
          <w:rFonts w:ascii="Arial" w:hAnsi="Arial" w:cs="Arial"/>
          <w:bCs/>
          <w:sz w:val="24"/>
          <w:szCs w:val="24"/>
        </w:rPr>
      </w:pPr>
    </w:p>
    <w:p w14:paraId="59D4B6A5" w14:textId="20C95A0C" w:rsidR="00E10278" w:rsidRPr="00E20185" w:rsidRDefault="001329AD" w:rsidP="001329AD">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bCs/>
          <w:sz w:val="24"/>
          <w:szCs w:val="24"/>
        </w:rPr>
        <w:t>1</w:t>
      </w:r>
      <w:r w:rsidR="00B00C32">
        <w:rPr>
          <w:rFonts w:ascii="Arial" w:hAnsi="Arial" w:cs="Arial"/>
          <w:bCs/>
          <w:sz w:val="24"/>
          <w:szCs w:val="24"/>
        </w:rPr>
        <w:t>4</w:t>
      </w:r>
      <w:r>
        <w:rPr>
          <w:rFonts w:ascii="Arial" w:hAnsi="Arial" w:cs="Arial"/>
          <w:bCs/>
          <w:sz w:val="24"/>
          <w:szCs w:val="24"/>
        </w:rPr>
        <w:t>.</w:t>
      </w:r>
      <w:r>
        <w:rPr>
          <w:rFonts w:ascii="Arial" w:hAnsi="Arial" w:cs="Arial"/>
          <w:bCs/>
          <w:sz w:val="24"/>
          <w:szCs w:val="24"/>
        </w:rPr>
        <w:tab/>
      </w:r>
      <w:r w:rsidR="004A0936" w:rsidRPr="00E20185">
        <w:rPr>
          <w:rFonts w:ascii="Arial" w:hAnsi="Arial" w:cs="Arial"/>
          <w:bCs/>
          <w:sz w:val="24"/>
          <w:szCs w:val="24"/>
        </w:rPr>
        <w:t xml:space="preserve">It has been helpful for Ms Patterson to raise this matter, and I thank her for taking the trouble to seek clarification from </w:t>
      </w:r>
      <w:r w:rsidR="00E10278" w:rsidRPr="00E20185">
        <w:rPr>
          <w:rFonts w:ascii="Arial" w:hAnsi="Arial" w:cs="Arial"/>
          <w:bCs/>
          <w:sz w:val="24"/>
          <w:szCs w:val="24"/>
        </w:rPr>
        <w:t>TAS</w:t>
      </w:r>
      <w:r w:rsidR="004A0936" w:rsidRPr="00E20185">
        <w:rPr>
          <w:rFonts w:ascii="Arial" w:hAnsi="Arial" w:cs="Arial"/>
          <w:bCs/>
          <w:sz w:val="24"/>
          <w:szCs w:val="24"/>
        </w:rPr>
        <w:t xml:space="preserve"> of the handwritten decision notice as against the typed version: they were found to be the sa</w:t>
      </w:r>
      <w:r w:rsidR="00A429D7" w:rsidRPr="00E20185">
        <w:rPr>
          <w:rFonts w:ascii="Arial" w:hAnsi="Arial" w:cs="Arial"/>
          <w:bCs/>
          <w:sz w:val="24"/>
          <w:szCs w:val="24"/>
        </w:rPr>
        <w:t xml:space="preserve">me.  </w:t>
      </w:r>
      <w:r w:rsidR="004A0936" w:rsidRPr="00E20185">
        <w:rPr>
          <w:rFonts w:ascii="Arial" w:hAnsi="Arial" w:cs="Arial"/>
          <w:bCs/>
          <w:sz w:val="24"/>
          <w:szCs w:val="24"/>
        </w:rPr>
        <w:t xml:space="preserve">She has also included a reference to decided case law where it is established </w:t>
      </w:r>
      <w:r w:rsidR="004A0936" w:rsidRPr="00E20185">
        <w:rPr>
          <w:rFonts w:ascii="Arial" w:hAnsi="Arial" w:cs="Arial"/>
          <w:bCs/>
          <w:sz w:val="24"/>
          <w:szCs w:val="24"/>
        </w:rPr>
        <w:lastRenderedPageBreak/>
        <w:t xml:space="preserve">that a difference between what is set out in the decision notice and the written reasoning can amount to an error of law.  In this case, however, it is likely that the decision notice contained a </w:t>
      </w:r>
      <w:r w:rsidR="00A429D7" w:rsidRPr="00E20185">
        <w:rPr>
          <w:rFonts w:ascii="Arial" w:hAnsi="Arial" w:cs="Arial"/>
          <w:bCs/>
          <w:sz w:val="24"/>
          <w:szCs w:val="24"/>
        </w:rPr>
        <w:t xml:space="preserve">mere </w:t>
      </w:r>
      <w:r w:rsidR="004A0936" w:rsidRPr="00E20185">
        <w:rPr>
          <w:rFonts w:ascii="Arial" w:hAnsi="Arial" w:cs="Arial"/>
          <w:bCs/>
          <w:sz w:val="24"/>
          <w:szCs w:val="24"/>
        </w:rPr>
        <w:t>typographical error</w:t>
      </w:r>
      <w:r w:rsidR="00A429D7" w:rsidRPr="00E20185">
        <w:rPr>
          <w:rFonts w:ascii="Arial" w:hAnsi="Arial" w:cs="Arial"/>
          <w:bCs/>
          <w:sz w:val="24"/>
          <w:szCs w:val="24"/>
        </w:rPr>
        <w:t>,</w:t>
      </w:r>
      <w:r w:rsidR="004A0936" w:rsidRPr="00E20185">
        <w:rPr>
          <w:rFonts w:ascii="Arial" w:hAnsi="Arial" w:cs="Arial"/>
          <w:bCs/>
          <w:sz w:val="24"/>
          <w:szCs w:val="24"/>
        </w:rPr>
        <w:t xml:space="preserve"> because the statement of reasons makes it abundantly clear that there was no difficulty in relation to reading and understanding signs, symbols and words</w:t>
      </w:r>
      <w:r w:rsidR="00A429D7" w:rsidRPr="00E20185">
        <w:rPr>
          <w:rFonts w:ascii="Arial" w:hAnsi="Arial" w:cs="Arial"/>
          <w:bCs/>
          <w:sz w:val="24"/>
          <w:szCs w:val="24"/>
        </w:rPr>
        <w:t>, and, given the extremely low expectations of the level of reading or understanding required, other matters referred to in the appellant’s evidence, such as his managing an online bank account, make this the most likely explanation.</w:t>
      </w:r>
    </w:p>
    <w:p w14:paraId="506FCFFA" w14:textId="77777777" w:rsidR="00E10278" w:rsidRPr="00E20185" w:rsidRDefault="00E10278" w:rsidP="001329AD">
      <w:pPr>
        <w:pStyle w:val="ListParagraph"/>
        <w:tabs>
          <w:tab w:val="left" w:pos="510"/>
          <w:tab w:val="left" w:pos="1077"/>
          <w:tab w:val="left" w:pos="1797"/>
        </w:tabs>
        <w:spacing w:after="0" w:line="240" w:lineRule="auto"/>
        <w:ind w:left="510" w:hanging="510"/>
        <w:rPr>
          <w:rFonts w:ascii="Arial" w:hAnsi="Arial" w:cs="Arial"/>
          <w:bCs/>
          <w:sz w:val="24"/>
          <w:szCs w:val="24"/>
        </w:rPr>
      </w:pPr>
    </w:p>
    <w:p w14:paraId="6C8A8335" w14:textId="218CD3A6" w:rsidR="00E10278" w:rsidRPr="00E20185" w:rsidRDefault="001329AD" w:rsidP="001329AD">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bCs/>
          <w:sz w:val="24"/>
          <w:szCs w:val="24"/>
        </w:rPr>
        <w:t>1</w:t>
      </w:r>
      <w:r w:rsidR="00B00C32">
        <w:rPr>
          <w:rFonts w:ascii="Arial" w:hAnsi="Arial" w:cs="Arial"/>
          <w:bCs/>
          <w:sz w:val="24"/>
          <w:szCs w:val="24"/>
        </w:rPr>
        <w:t>5</w:t>
      </w:r>
      <w:r>
        <w:rPr>
          <w:rFonts w:ascii="Arial" w:hAnsi="Arial" w:cs="Arial"/>
          <w:bCs/>
          <w:sz w:val="24"/>
          <w:szCs w:val="24"/>
        </w:rPr>
        <w:t>.</w:t>
      </w:r>
      <w:r>
        <w:rPr>
          <w:rFonts w:ascii="Arial" w:hAnsi="Arial" w:cs="Arial"/>
          <w:bCs/>
          <w:sz w:val="24"/>
          <w:szCs w:val="24"/>
        </w:rPr>
        <w:tab/>
      </w:r>
      <w:r w:rsidR="004A0936" w:rsidRPr="00E20185">
        <w:rPr>
          <w:rFonts w:ascii="Arial" w:hAnsi="Arial" w:cs="Arial"/>
          <w:bCs/>
          <w:sz w:val="24"/>
          <w:szCs w:val="24"/>
        </w:rPr>
        <w:t xml:space="preserve">Although my setting aside the decision means that if this was a problem, it no longer is, I </w:t>
      </w:r>
      <w:r w:rsidR="00A429D7" w:rsidRPr="00E20185">
        <w:rPr>
          <w:rFonts w:ascii="Arial" w:hAnsi="Arial" w:cs="Arial"/>
          <w:bCs/>
          <w:sz w:val="24"/>
          <w:szCs w:val="24"/>
        </w:rPr>
        <w:t>believe</w:t>
      </w:r>
      <w:r w:rsidR="004A0936" w:rsidRPr="00E20185">
        <w:rPr>
          <w:rFonts w:ascii="Arial" w:hAnsi="Arial" w:cs="Arial"/>
          <w:bCs/>
          <w:sz w:val="24"/>
          <w:szCs w:val="24"/>
        </w:rPr>
        <w:t xml:space="preserve"> that the decision notice almost certainly referred to activity 9b.  The appellant had explained that he ha</w:t>
      </w:r>
      <w:r w:rsidR="006D70B8" w:rsidRPr="00E20185">
        <w:rPr>
          <w:rFonts w:ascii="Arial" w:hAnsi="Arial" w:cs="Arial"/>
          <w:bCs/>
          <w:sz w:val="24"/>
          <w:szCs w:val="24"/>
        </w:rPr>
        <w:t>s,</w:t>
      </w:r>
      <w:r w:rsidR="004A0936" w:rsidRPr="00E20185">
        <w:rPr>
          <w:rFonts w:ascii="Arial" w:hAnsi="Arial" w:cs="Arial"/>
          <w:bCs/>
          <w:sz w:val="24"/>
          <w:szCs w:val="24"/>
        </w:rPr>
        <w:t xml:space="preserve"> since the accident</w:t>
      </w:r>
      <w:r w:rsidR="00A429D7" w:rsidRPr="00E20185">
        <w:rPr>
          <w:rFonts w:ascii="Arial" w:hAnsi="Arial" w:cs="Arial"/>
          <w:bCs/>
          <w:sz w:val="24"/>
          <w:szCs w:val="24"/>
        </w:rPr>
        <w:t xml:space="preserve"> in </w:t>
      </w:r>
      <w:r w:rsidR="006D70B8" w:rsidRPr="00E20185">
        <w:rPr>
          <w:rFonts w:ascii="Arial" w:hAnsi="Arial" w:cs="Arial"/>
          <w:bCs/>
          <w:sz w:val="24"/>
          <w:szCs w:val="24"/>
        </w:rPr>
        <w:t>2018</w:t>
      </w:r>
      <w:r w:rsidR="00A429D7" w:rsidRPr="00E20185">
        <w:rPr>
          <w:rFonts w:ascii="Arial" w:hAnsi="Arial" w:cs="Arial"/>
          <w:bCs/>
          <w:sz w:val="24"/>
          <w:szCs w:val="24"/>
        </w:rPr>
        <w:t>, had problems</w:t>
      </w:r>
      <w:r w:rsidR="004A0936" w:rsidRPr="00E20185">
        <w:rPr>
          <w:rFonts w:ascii="Arial" w:hAnsi="Arial" w:cs="Arial"/>
          <w:bCs/>
          <w:sz w:val="24"/>
          <w:szCs w:val="24"/>
        </w:rPr>
        <w:t xml:space="preserve"> engaging with others.  Th</w:t>
      </w:r>
      <w:r w:rsidR="00A429D7" w:rsidRPr="00E20185">
        <w:rPr>
          <w:rFonts w:ascii="Arial" w:hAnsi="Arial" w:cs="Arial"/>
          <w:bCs/>
          <w:sz w:val="24"/>
          <w:szCs w:val="24"/>
        </w:rPr>
        <w:t>e extent of these</w:t>
      </w:r>
      <w:r w:rsidR="004A0936" w:rsidRPr="00E20185">
        <w:rPr>
          <w:rFonts w:ascii="Arial" w:hAnsi="Arial" w:cs="Arial"/>
          <w:bCs/>
          <w:sz w:val="24"/>
          <w:szCs w:val="24"/>
        </w:rPr>
        <w:t xml:space="preserve"> will be something for the fresh tribunal to decide, as I </w:t>
      </w:r>
      <w:r w:rsidR="00976FD8" w:rsidRPr="00E20185">
        <w:rPr>
          <w:rFonts w:ascii="Arial" w:hAnsi="Arial" w:cs="Arial"/>
          <w:bCs/>
          <w:sz w:val="24"/>
          <w:szCs w:val="24"/>
        </w:rPr>
        <w:t>explain below</w:t>
      </w:r>
      <w:r w:rsidR="004A0936" w:rsidRPr="00E20185">
        <w:rPr>
          <w:rFonts w:ascii="Arial" w:hAnsi="Arial" w:cs="Arial"/>
          <w:bCs/>
          <w:sz w:val="24"/>
          <w:szCs w:val="24"/>
        </w:rPr>
        <w:t xml:space="preserve"> that the tribunal’s approach in relation to its reasoning about this descriptor amounts to an error of law.</w:t>
      </w:r>
    </w:p>
    <w:p w14:paraId="18D87CD8" w14:textId="77777777" w:rsidR="00E10278" w:rsidRPr="001329AD" w:rsidRDefault="00E10278" w:rsidP="00A306AA">
      <w:pPr>
        <w:pStyle w:val="ListParagraph"/>
        <w:tabs>
          <w:tab w:val="left" w:pos="510"/>
          <w:tab w:val="left" w:pos="1077"/>
          <w:tab w:val="left" w:pos="1797"/>
        </w:tabs>
        <w:spacing w:after="0" w:line="240" w:lineRule="auto"/>
        <w:ind w:left="0"/>
        <w:rPr>
          <w:rFonts w:ascii="Arial" w:hAnsi="Arial" w:cs="Arial"/>
          <w:bCs/>
          <w:sz w:val="24"/>
          <w:szCs w:val="24"/>
          <w:u w:val="single"/>
        </w:rPr>
      </w:pPr>
    </w:p>
    <w:p w14:paraId="443A3639" w14:textId="687668A1" w:rsidR="00E10278" w:rsidRPr="00E20185" w:rsidRDefault="001329AD" w:rsidP="00A306AA">
      <w:pPr>
        <w:tabs>
          <w:tab w:val="left" w:pos="510"/>
          <w:tab w:val="left" w:pos="1077"/>
          <w:tab w:val="left" w:pos="1797"/>
        </w:tabs>
        <w:spacing w:after="0" w:line="240" w:lineRule="auto"/>
        <w:contextualSpacing/>
        <w:jc w:val="both"/>
        <w:rPr>
          <w:rFonts w:ascii="Arial" w:hAnsi="Arial" w:cs="Arial"/>
          <w:sz w:val="24"/>
          <w:szCs w:val="24"/>
        </w:rPr>
      </w:pPr>
      <w:r w:rsidRPr="001329AD">
        <w:rPr>
          <w:rFonts w:ascii="Arial" w:hAnsi="Arial" w:cs="Arial"/>
          <w:b/>
          <w:sz w:val="24"/>
          <w:szCs w:val="24"/>
        </w:rPr>
        <w:tab/>
      </w:r>
      <w:r w:rsidR="00D8637E" w:rsidRPr="00E20185">
        <w:rPr>
          <w:rFonts w:ascii="Arial" w:hAnsi="Arial" w:cs="Arial"/>
          <w:b/>
          <w:sz w:val="24"/>
          <w:szCs w:val="24"/>
          <w:u w:val="single"/>
        </w:rPr>
        <w:t>The arguments discussed</w:t>
      </w:r>
    </w:p>
    <w:p w14:paraId="083EF4B0" w14:textId="77777777" w:rsidR="00E10278" w:rsidRPr="00E20185" w:rsidRDefault="00E10278" w:rsidP="00A306AA">
      <w:pPr>
        <w:pStyle w:val="ListParagraph"/>
        <w:tabs>
          <w:tab w:val="left" w:pos="510"/>
          <w:tab w:val="left" w:pos="1077"/>
          <w:tab w:val="left" w:pos="1797"/>
        </w:tabs>
        <w:spacing w:after="0" w:line="240" w:lineRule="auto"/>
        <w:ind w:left="0"/>
        <w:rPr>
          <w:rFonts w:ascii="Arial" w:hAnsi="Arial" w:cs="Arial"/>
          <w:bCs/>
          <w:sz w:val="24"/>
          <w:szCs w:val="24"/>
        </w:rPr>
      </w:pPr>
    </w:p>
    <w:p w14:paraId="723DBE74" w14:textId="4BDB8FB6" w:rsidR="00E10278" w:rsidRPr="00E20185" w:rsidRDefault="005264C6" w:rsidP="005264C6">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bCs/>
          <w:sz w:val="24"/>
          <w:szCs w:val="24"/>
        </w:rPr>
        <w:t>1</w:t>
      </w:r>
      <w:r w:rsidR="00B00C32">
        <w:rPr>
          <w:rFonts w:ascii="Arial" w:hAnsi="Arial" w:cs="Arial"/>
          <w:bCs/>
          <w:sz w:val="24"/>
          <w:szCs w:val="24"/>
        </w:rPr>
        <w:t>6</w:t>
      </w:r>
      <w:r>
        <w:rPr>
          <w:rFonts w:ascii="Arial" w:hAnsi="Arial" w:cs="Arial"/>
          <w:bCs/>
          <w:sz w:val="24"/>
          <w:szCs w:val="24"/>
        </w:rPr>
        <w:t>.</w:t>
      </w:r>
      <w:r>
        <w:rPr>
          <w:rFonts w:ascii="Arial" w:hAnsi="Arial" w:cs="Arial"/>
          <w:bCs/>
          <w:sz w:val="24"/>
          <w:szCs w:val="24"/>
        </w:rPr>
        <w:tab/>
      </w:r>
      <w:r w:rsidR="00D8637E" w:rsidRPr="00E20185">
        <w:rPr>
          <w:rFonts w:ascii="Arial" w:hAnsi="Arial" w:cs="Arial"/>
          <w:bCs/>
          <w:sz w:val="24"/>
          <w:szCs w:val="24"/>
        </w:rPr>
        <w:t>Some of the matters put forward on behalf of the appellant</w:t>
      </w:r>
      <w:r w:rsidR="004A0936" w:rsidRPr="00E20185">
        <w:rPr>
          <w:rFonts w:ascii="Arial" w:hAnsi="Arial" w:cs="Arial"/>
          <w:bCs/>
          <w:sz w:val="24"/>
          <w:szCs w:val="24"/>
        </w:rPr>
        <w:t xml:space="preserve"> as errors by the tribunal</w:t>
      </w:r>
      <w:r w:rsidR="00D8637E" w:rsidRPr="00E20185">
        <w:rPr>
          <w:rFonts w:ascii="Arial" w:hAnsi="Arial" w:cs="Arial"/>
          <w:bCs/>
          <w:sz w:val="24"/>
          <w:szCs w:val="24"/>
        </w:rPr>
        <w:t xml:space="preserve"> </w:t>
      </w:r>
      <w:r w:rsidR="004A0936" w:rsidRPr="00E20185">
        <w:rPr>
          <w:rFonts w:ascii="Arial" w:hAnsi="Arial" w:cs="Arial"/>
          <w:bCs/>
          <w:sz w:val="24"/>
          <w:szCs w:val="24"/>
        </w:rPr>
        <w:t xml:space="preserve">are no longer problematic as I am setting aside its decision. </w:t>
      </w:r>
      <w:r>
        <w:rPr>
          <w:rFonts w:ascii="Arial" w:hAnsi="Arial" w:cs="Arial"/>
          <w:bCs/>
          <w:sz w:val="24"/>
          <w:szCs w:val="24"/>
        </w:rPr>
        <w:t xml:space="preserve"> </w:t>
      </w:r>
      <w:r w:rsidR="004A0936" w:rsidRPr="00E20185">
        <w:rPr>
          <w:rFonts w:ascii="Arial" w:hAnsi="Arial" w:cs="Arial"/>
          <w:bCs/>
          <w:sz w:val="24"/>
          <w:szCs w:val="24"/>
        </w:rPr>
        <w:t xml:space="preserve">Others </w:t>
      </w:r>
      <w:r w:rsidR="00D8637E" w:rsidRPr="00E20185">
        <w:rPr>
          <w:rFonts w:ascii="Arial" w:hAnsi="Arial" w:cs="Arial"/>
          <w:bCs/>
          <w:sz w:val="24"/>
          <w:szCs w:val="24"/>
        </w:rPr>
        <w:t>will be matters for the next tribunal to consider and make findings about.</w:t>
      </w:r>
      <w:r w:rsidR="00655F90" w:rsidRPr="00E20185">
        <w:rPr>
          <w:rFonts w:ascii="Arial" w:hAnsi="Arial" w:cs="Arial"/>
          <w:bCs/>
          <w:sz w:val="24"/>
          <w:szCs w:val="24"/>
        </w:rPr>
        <w:t xml:space="preserve"> </w:t>
      </w:r>
      <w:r>
        <w:rPr>
          <w:rFonts w:ascii="Arial" w:hAnsi="Arial" w:cs="Arial"/>
          <w:bCs/>
          <w:sz w:val="24"/>
          <w:szCs w:val="24"/>
        </w:rPr>
        <w:t xml:space="preserve"> </w:t>
      </w:r>
      <w:r w:rsidR="00655F90" w:rsidRPr="00E20185">
        <w:rPr>
          <w:rFonts w:ascii="Arial" w:hAnsi="Arial" w:cs="Arial"/>
          <w:bCs/>
          <w:sz w:val="24"/>
          <w:szCs w:val="24"/>
        </w:rPr>
        <w:t>In particular the prescribed medication being taken at the relevant dates a</w:t>
      </w:r>
      <w:r w:rsidR="00CB6693" w:rsidRPr="00E20185">
        <w:rPr>
          <w:rFonts w:ascii="Arial" w:hAnsi="Arial" w:cs="Arial"/>
          <w:bCs/>
          <w:sz w:val="24"/>
          <w:szCs w:val="24"/>
        </w:rPr>
        <w:t>n</w:t>
      </w:r>
      <w:r w:rsidR="00655F90" w:rsidRPr="00E20185">
        <w:rPr>
          <w:rFonts w:ascii="Arial" w:hAnsi="Arial" w:cs="Arial"/>
          <w:bCs/>
          <w:sz w:val="24"/>
          <w:szCs w:val="24"/>
        </w:rPr>
        <w:t>d whether he was being treated or had been discharged by the different clinicians</w:t>
      </w:r>
      <w:r w:rsidR="004A0936" w:rsidRPr="00E20185">
        <w:rPr>
          <w:rFonts w:ascii="Arial" w:hAnsi="Arial" w:cs="Arial"/>
          <w:bCs/>
          <w:sz w:val="24"/>
          <w:szCs w:val="24"/>
        </w:rPr>
        <w:t>, and the effect these m</w:t>
      </w:r>
      <w:r w:rsidR="00CB6693" w:rsidRPr="00E20185">
        <w:rPr>
          <w:rFonts w:ascii="Arial" w:hAnsi="Arial" w:cs="Arial"/>
          <w:bCs/>
          <w:sz w:val="24"/>
          <w:szCs w:val="24"/>
        </w:rPr>
        <w:t>atters</w:t>
      </w:r>
      <w:r w:rsidR="004A0936" w:rsidRPr="00E20185">
        <w:rPr>
          <w:rFonts w:ascii="Arial" w:hAnsi="Arial" w:cs="Arial"/>
          <w:bCs/>
          <w:sz w:val="24"/>
          <w:szCs w:val="24"/>
        </w:rPr>
        <w:t xml:space="preserve"> may have had on </w:t>
      </w:r>
      <w:r w:rsidR="00CB6693" w:rsidRPr="00E20185">
        <w:rPr>
          <w:rFonts w:ascii="Arial" w:hAnsi="Arial" w:cs="Arial"/>
          <w:bCs/>
          <w:sz w:val="24"/>
          <w:szCs w:val="24"/>
        </w:rPr>
        <w:t>what</w:t>
      </w:r>
      <w:r w:rsidR="004A0936" w:rsidRPr="00E20185">
        <w:rPr>
          <w:rFonts w:ascii="Arial" w:hAnsi="Arial" w:cs="Arial"/>
          <w:bCs/>
          <w:sz w:val="24"/>
          <w:szCs w:val="24"/>
        </w:rPr>
        <w:t xml:space="preserve"> the tribunal needs to determine.</w:t>
      </w:r>
      <w:r w:rsidR="00655F90" w:rsidRPr="00E20185">
        <w:rPr>
          <w:rFonts w:ascii="Arial" w:hAnsi="Arial" w:cs="Arial"/>
          <w:bCs/>
          <w:sz w:val="24"/>
          <w:szCs w:val="24"/>
        </w:rPr>
        <w:t xml:space="preserve">  The tribunal has the medical notes, and </w:t>
      </w:r>
      <w:r w:rsidR="00CB6693" w:rsidRPr="00E20185">
        <w:rPr>
          <w:rFonts w:ascii="Arial" w:hAnsi="Arial" w:cs="Arial"/>
          <w:bCs/>
          <w:sz w:val="24"/>
          <w:szCs w:val="24"/>
        </w:rPr>
        <w:t>the</w:t>
      </w:r>
      <w:r w:rsidR="00655F90" w:rsidRPr="00E20185">
        <w:rPr>
          <w:rFonts w:ascii="Arial" w:hAnsi="Arial" w:cs="Arial"/>
          <w:bCs/>
          <w:sz w:val="24"/>
          <w:szCs w:val="24"/>
        </w:rPr>
        <w:t xml:space="preserve"> expertise as to their interpretation.</w:t>
      </w:r>
    </w:p>
    <w:p w14:paraId="45C06306" w14:textId="77777777" w:rsidR="00E10278" w:rsidRPr="00E20185" w:rsidRDefault="00E10278" w:rsidP="00A306AA">
      <w:pPr>
        <w:tabs>
          <w:tab w:val="left" w:pos="510"/>
          <w:tab w:val="left" w:pos="1077"/>
          <w:tab w:val="left" w:pos="1797"/>
        </w:tabs>
        <w:spacing w:after="0" w:line="240" w:lineRule="auto"/>
        <w:contextualSpacing/>
        <w:jc w:val="both"/>
        <w:rPr>
          <w:rFonts w:ascii="Arial" w:hAnsi="Arial" w:cs="Arial"/>
          <w:sz w:val="24"/>
          <w:szCs w:val="24"/>
        </w:rPr>
      </w:pPr>
    </w:p>
    <w:p w14:paraId="00A3B2D4" w14:textId="0CDBCB10" w:rsidR="00E10278" w:rsidRPr="00E20185" w:rsidRDefault="009F54B4" w:rsidP="00A306AA">
      <w:pPr>
        <w:tabs>
          <w:tab w:val="left" w:pos="510"/>
          <w:tab w:val="left" w:pos="1077"/>
          <w:tab w:val="left" w:pos="1797"/>
        </w:tabs>
        <w:spacing w:after="0" w:line="240" w:lineRule="auto"/>
        <w:contextualSpacing/>
        <w:jc w:val="both"/>
        <w:rPr>
          <w:rFonts w:ascii="Arial" w:hAnsi="Arial" w:cs="Arial"/>
          <w:sz w:val="24"/>
          <w:szCs w:val="24"/>
        </w:rPr>
      </w:pPr>
      <w:r w:rsidRPr="009F54B4">
        <w:rPr>
          <w:rFonts w:ascii="Arial" w:hAnsi="Arial" w:cs="Arial"/>
          <w:b/>
          <w:bCs/>
          <w:sz w:val="24"/>
          <w:szCs w:val="24"/>
        </w:rPr>
        <w:tab/>
      </w:r>
      <w:r w:rsidR="00B80AA7" w:rsidRPr="00E20185">
        <w:rPr>
          <w:rFonts w:ascii="Arial" w:hAnsi="Arial" w:cs="Arial"/>
          <w:b/>
          <w:bCs/>
          <w:sz w:val="24"/>
          <w:szCs w:val="24"/>
          <w:u w:val="single"/>
        </w:rPr>
        <w:t xml:space="preserve">My conclusions on the </w:t>
      </w:r>
      <w:r w:rsidR="00D8637E" w:rsidRPr="00E20185">
        <w:rPr>
          <w:rFonts w:ascii="Arial" w:hAnsi="Arial" w:cs="Arial"/>
          <w:b/>
          <w:bCs/>
          <w:sz w:val="24"/>
          <w:szCs w:val="24"/>
          <w:u w:val="single"/>
        </w:rPr>
        <w:t xml:space="preserve">differing </w:t>
      </w:r>
      <w:r w:rsidR="00B80AA7" w:rsidRPr="00E20185">
        <w:rPr>
          <w:rFonts w:ascii="Arial" w:hAnsi="Arial" w:cs="Arial"/>
          <w:b/>
          <w:bCs/>
          <w:sz w:val="24"/>
          <w:szCs w:val="24"/>
          <w:u w:val="single"/>
        </w:rPr>
        <w:t>arguments</w:t>
      </w:r>
    </w:p>
    <w:p w14:paraId="231013BC" w14:textId="77777777" w:rsidR="00E10278" w:rsidRPr="00E20185" w:rsidRDefault="00E10278" w:rsidP="00A306AA">
      <w:pPr>
        <w:pStyle w:val="ListParagraph"/>
        <w:tabs>
          <w:tab w:val="left" w:pos="510"/>
          <w:tab w:val="left" w:pos="1077"/>
          <w:tab w:val="left" w:pos="1797"/>
        </w:tabs>
        <w:spacing w:after="0" w:line="240" w:lineRule="auto"/>
        <w:ind w:left="0"/>
        <w:rPr>
          <w:rFonts w:ascii="Arial" w:hAnsi="Arial" w:cs="Arial"/>
          <w:sz w:val="24"/>
          <w:szCs w:val="24"/>
        </w:rPr>
      </w:pPr>
    </w:p>
    <w:p w14:paraId="3AD1C6ED" w14:textId="0758C249" w:rsidR="00E10278" w:rsidRPr="00E20185" w:rsidRDefault="00B00C32" w:rsidP="009F54B4">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17</w:t>
      </w:r>
      <w:r w:rsidR="009F54B4">
        <w:rPr>
          <w:rFonts w:ascii="Arial" w:hAnsi="Arial" w:cs="Arial"/>
          <w:sz w:val="24"/>
          <w:szCs w:val="24"/>
        </w:rPr>
        <w:t>.</w:t>
      </w:r>
      <w:r w:rsidR="009F54B4">
        <w:rPr>
          <w:rFonts w:ascii="Arial" w:hAnsi="Arial" w:cs="Arial"/>
          <w:sz w:val="24"/>
          <w:szCs w:val="24"/>
        </w:rPr>
        <w:tab/>
      </w:r>
      <w:r w:rsidR="00B80AA7" w:rsidRPr="00E20185">
        <w:rPr>
          <w:rFonts w:ascii="Arial" w:hAnsi="Arial" w:cs="Arial"/>
          <w:sz w:val="24"/>
          <w:szCs w:val="24"/>
        </w:rPr>
        <w:t>I need say little</w:t>
      </w:r>
      <w:r w:rsidR="00A429D7" w:rsidRPr="00E20185">
        <w:rPr>
          <w:rFonts w:ascii="Arial" w:hAnsi="Arial" w:cs="Arial"/>
          <w:sz w:val="24"/>
          <w:szCs w:val="24"/>
        </w:rPr>
        <w:t xml:space="preserve"> more</w:t>
      </w:r>
      <w:r w:rsidR="00B80AA7" w:rsidRPr="00E20185">
        <w:rPr>
          <w:rFonts w:ascii="Arial" w:hAnsi="Arial" w:cs="Arial"/>
          <w:sz w:val="24"/>
          <w:szCs w:val="24"/>
        </w:rPr>
        <w:t xml:space="preserve"> about the detailed points made</w:t>
      </w:r>
      <w:r w:rsidR="00A429D7" w:rsidRPr="00E20185">
        <w:rPr>
          <w:rFonts w:ascii="Arial" w:hAnsi="Arial" w:cs="Arial"/>
          <w:sz w:val="24"/>
          <w:szCs w:val="24"/>
        </w:rPr>
        <w:t xml:space="preserve">, </w:t>
      </w:r>
      <w:r w:rsidR="00B80AA7" w:rsidRPr="00E20185">
        <w:rPr>
          <w:rFonts w:ascii="Arial" w:hAnsi="Arial" w:cs="Arial"/>
          <w:sz w:val="24"/>
          <w:szCs w:val="24"/>
        </w:rPr>
        <w:t>a</w:t>
      </w:r>
      <w:r w:rsidR="00A429D7" w:rsidRPr="00E20185">
        <w:rPr>
          <w:rFonts w:ascii="Arial" w:hAnsi="Arial" w:cs="Arial"/>
          <w:sz w:val="24"/>
          <w:szCs w:val="24"/>
        </w:rPr>
        <w:t>s</w:t>
      </w:r>
      <w:r w:rsidR="00B80AA7" w:rsidRPr="00E20185">
        <w:rPr>
          <w:rFonts w:ascii="Arial" w:hAnsi="Arial" w:cs="Arial"/>
          <w:sz w:val="24"/>
          <w:szCs w:val="24"/>
        </w:rPr>
        <w:t xml:space="preserve"> I am allowing the appeal</w:t>
      </w:r>
      <w:r w:rsidR="00A429D7" w:rsidRPr="00E20185">
        <w:rPr>
          <w:rFonts w:ascii="Arial" w:hAnsi="Arial" w:cs="Arial"/>
          <w:sz w:val="24"/>
          <w:szCs w:val="24"/>
        </w:rPr>
        <w:t xml:space="preserve"> principally</w:t>
      </w:r>
      <w:r w:rsidR="00B80AA7" w:rsidRPr="00E20185">
        <w:rPr>
          <w:rFonts w:ascii="Arial" w:hAnsi="Arial" w:cs="Arial"/>
          <w:sz w:val="24"/>
          <w:szCs w:val="24"/>
        </w:rPr>
        <w:t xml:space="preserve"> for different reasons to those put forward.</w:t>
      </w:r>
      <w:r w:rsidR="009F54B4">
        <w:rPr>
          <w:rFonts w:ascii="Arial" w:hAnsi="Arial" w:cs="Arial"/>
          <w:sz w:val="24"/>
          <w:szCs w:val="24"/>
        </w:rPr>
        <w:t xml:space="preserve"> </w:t>
      </w:r>
      <w:r w:rsidR="00B80AA7" w:rsidRPr="00E20185">
        <w:rPr>
          <w:rFonts w:ascii="Arial" w:hAnsi="Arial" w:cs="Arial"/>
          <w:sz w:val="24"/>
          <w:szCs w:val="24"/>
        </w:rPr>
        <w:t xml:space="preserve"> I find that there w</w:t>
      </w:r>
      <w:r w:rsidR="00A429D7" w:rsidRPr="00E20185">
        <w:rPr>
          <w:rFonts w:ascii="Arial" w:hAnsi="Arial" w:cs="Arial"/>
          <w:sz w:val="24"/>
          <w:szCs w:val="24"/>
        </w:rPr>
        <w:t>ere</w:t>
      </w:r>
      <w:r w:rsidR="00B80AA7" w:rsidRPr="00E20185">
        <w:rPr>
          <w:rFonts w:ascii="Arial" w:hAnsi="Arial" w:cs="Arial"/>
          <w:sz w:val="24"/>
          <w:szCs w:val="24"/>
        </w:rPr>
        <w:t xml:space="preserve"> legal error</w:t>
      </w:r>
      <w:r w:rsidR="00A429D7" w:rsidRPr="00E20185">
        <w:rPr>
          <w:rFonts w:ascii="Arial" w:hAnsi="Arial" w:cs="Arial"/>
          <w:sz w:val="24"/>
          <w:szCs w:val="24"/>
        </w:rPr>
        <w:t>s</w:t>
      </w:r>
      <w:r w:rsidR="00B80AA7" w:rsidRPr="00E20185">
        <w:rPr>
          <w:rFonts w:ascii="Arial" w:hAnsi="Arial" w:cs="Arial"/>
          <w:sz w:val="24"/>
          <w:szCs w:val="24"/>
        </w:rPr>
        <w:t xml:space="preserve"> by the tribunal that </w:t>
      </w:r>
      <w:r w:rsidR="00A429D7" w:rsidRPr="00E20185">
        <w:rPr>
          <w:rFonts w:ascii="Arial" w:hAnsi="Arial" w:cs="Arial"/>
          <w:sz w:val="24"/>
          <w:szCs w:val="24"/>
        </w:rPr>
        <w:t>may have been</w:t>
      </w:r>
      <w:r w:rsidR="00B80AA7" w:rsidRPr="00E20185">
        <w:rPr>
          <w:rFonts w:ascii="Arial" w:hAnsi="Arial" w:cs="Arial"/>
          <w:sz w:val="24"/>
          <w:szCs w:val="24"/>
        </w:rPr>
        <w:t xml:space="preserve"> material to the outcome; put another way, </w:t>
      </w:r>
      <w:r w:rsidR="00A429D7" w:rsidRPr="00E20185">
        <w:rPr>
          <w:rFonts w:ascii="Arial" w:hAnsi="Arial" w:cs="Arial"/>
          <w:sz w:val="24"/>
          <w:szCs w:val="24"/>
        </w:rPr>
        <w:t>they are</w:t>
      </w:r>
      <w:r w:rsidR="00B80AA7" w:rsidRPr="00E20185">
        <w:rPr>
          <w:rFonts w:ascii="Arial" w:hAnsi="Arial" w:cs="Arial"/>
          <w:sz w:val="24"/>
          <w:szCs w:val="24"/>
        </w:rPr>
        <w:t xml:space="preserve"> mistake</w:t>
      </w:r>
      <w:r w:rsidR="00A429D7" w:rsidRPr="00E20185">
        <w:rPr>
          <w:rFonts w:ascii="Arial" w:hAnsi="Arial" w:cs="Arial"/>
          <w:sz w:val="24"/>
          <w:szCs w:val="24"/>
        </w:rPr>
        <w:t>s</w:t>
      </w:r>
      <w:r w:rsidR="00B80AA7" w:rsidRPr="00E20185">
        <w:rPr>
          <w:rFonts w:ascii="Arial" w:hAnsi="Arial" w:cs="Arial"/>
          <w:sz w:val="24"/>
          <w:szCs w:val="24"/>
        </w:rPr>
        <w:t xml:space="preserve"> that matter, at the end of the day.</w:t>
      </w:r>
    </w:p>
    <w:p w14:paraId="1CC936D9" w14:textId="77777777" w:rsidR="00E10278" w:rsidRPr="00E20185" w:rsidRDefault="00E10278" w:rsidP="00A306AA">
      <w:pPr>
        <w:tabs>
          <w:tab w:val="left" w:pos="510"/>
          <w:tab w:val="left" w:pos="1077"/>
          <w:tab w:val="left" w:pos="1797"/>
        </w:tabs>
        <w:spacing w:after="0" w:line="240" w:lineRule="auto"/>
        <w:contextualSpacing/>
        <w:jc w:val="both"/>
        <w:rPr>
          <w:rFonts w:ascii="Arial" w:hAnsi="Arial" w:cs="Arial"/>
          <w:sz w:val="24"/>
          <w:szCs w:val="24"/>
        </w:rPr>
      </w:pPr>
    </w:p>
    <w:p w14:paraId="6E49DC39" w14:textId="39E74739" w:rsidR="00E10278" w:rsidRPr="00E20185" w:rsidRDefault="009F54B4" w:rsidP="00A306AA">
      <w:pPr>
        <w:tabs>
          <w:tab w:val="left" w:pos="510"/>
          <w:tab w:val="left" w:pos="1077"/>
          <w:tab w:val="left" w:pos="1797"/>
        </w:tabs>
        <w:spacing w:after="0" w:line="240" w:lineRule="auto"/>
        <w:contextualSpacing/>
        <w:jc w:val="both"/>
        <w:rPr>
          <w:rFonts w:ascii="Arial" w:hAnsi="Arial" w:cs="Arial"/>
          <w:b/>
          <w:bCs/>
          <w:sz w:val="24"/>
          <w:szCs w:val="24"/>
          <w:u w:val="single"/>
        </w:rPr>
      </w:pPr>
      <w:r w:rsidRPr="009F54B4">
        <w:rPr>
          <w:rFonts w:ascii="Arial" w:hAnsi="Arial" w:cs="Arial"/>
          <w:b/>
          <w:bCs/>
          <w:sz w:val="24"/>
          <w:szCs w:val="24"/>
        </w:rPr>
        <w:tab/>
      </w:r>
      <w:r w:rsidR="00B80AA7" w:rsidRPr="00E20185">
        <w:rPr>
          <w:rFonts w:ascii="Arial" w:hAnsi="Arial" w:cs="Arial"/>
          <w:b/>
          <w:bCs/>
          <w:sz w:val="24"/>
          <w:szCs w:val="24"/>
          <w:u w:val="single"/>
        </w:rPr>
        <w:t>The error</w:t>
      </w:r>
      <w:r w:rsidR="009D0F21" w:rsidRPr="00E20185">
        <w:rPr>
          <w:rFonts w:ascii="Arial" w:hAnsi="Arial" w:cs="Arial"/>
          <w:b/>
          <w:bCs/>
          <w:sz w:val="24"/>
          <w:szCs w:val="24"/>
          <w:u w:val="single"/>
        </w:rPr>
        <w:t>s</w:t>
      </w:r>
      <w:r w:rsidR="00B80AA7" w:rsidRPr="00E20185">
        <w:rPr>
          <w:rFonts w:ascii="Arial" w:hAnsi="Arial" w:cs="Arial"/>
          <w:b/>
          <w:bCs/>
          <w:sz w:val="24"/>
          <w:szCs w:val="24"/>
          <w:u w:val="single"/>
        </w:rPr>
        <w:t xml:space="preserve"> of law here</w:t>
      </w:r>
    </w:p>
    <w:p w14:paraId="22927C28" w14:textId="77777777" w:rsidR="004748B2" w:rsidRPr="00E20185" w:rsidRDefault="004748B2" w:rsidP="00A306AA">
      <w:pPr>
        <w:tabs>
          <w:tab w:val="left" w:pos="510"/>
          <w:tab w:val="left" w:pos="1077"/>
          <w:tab w:val="left" w:pos="1797"/>
        </w:tabs>
        <w:spacing w:after="0" w:line="240" w:lineRule="auto"/>
        <w:contextualSpacing/>
        <w:jc w:val="both"/>
        <w:rPr>
          <w:rFonts w:ascii="Arial" w:hAnsi="Arial" w:cs="Arial"/>
          <w:sz w:val="24"/>
          <w:szCs w:val="24"/>
        </w:rPr>
      </w:pPr>
    </w:p>
    <w:p w14:paraId="68B1D156" w14:textId="3E6A6B4F" w:rsidR="004748B2" w:rsidRPr="00E20185" w:rsidRDefault="00B00C32" w:rsidP="00F83D52">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18</w:t>
      </w:r>
      <w:r w:rsidR="009F54B4">
        <w:rPr>
          <w:rFonts w:ascii="Arial" w:hAnsi="Arial" w:cs="Arial"/>
          <w:sz w:val="24"/>
          <w:szCs w:val="24"/>
        </w:rPr>
        <w:t>.</w:t>
      </w:r>
      <w:r w:rsidR="009F54B4">
        <w:rPr>
          <w:rFonts w:ascii="Arial" w:hAnsi="Arial" w:cs="Arial"/>
          <w:sz w:val="24"/>
          <w:szCs w:val="24"/>
        </w:rPr>
        <w:tab/>
      </w:r>
      <w:r w:rsidR="009D0F21" w:rsidRPr="00E20185">
        <w:rPr>
          <w:rFonts w:ascii="Arial" w:hAnsi="Arial" w:cs="Arial"/>
          <w:sz w:val="24"/>
          <w:szCs w:val="24"/>
        </w:rPr>
        <w:t>I understand the appellant’s concerns in relation to mobility activity 1.</w:t>
      </w:r>
      <w:r w:rsidR="009F54B4">
        <w:rPr>
          <w:rFonts w:ascii="Arial" w:hAnsi="Arial" w:cs="Arial"/>
          <w:sz w:val="24"/>
          <w:szCs w:val="24"/>
        </w:rPr>
        <w:t xml:space="preserve"> </w:t>
      </w:r>
      <w:r w:rsidR="009D0F21" w:rsidRPr="00E20185">
        <w:rPr>
          <w:rFonts w:ascii="Arial" w:hAnsi="Arial" w:cs="Arial"/>
          <w:sz w:val="24"/>
          <w:szCs w:val="24"/>
        </w:rPr>
        <w:t xml:space="preserve"> The tribunal has at least failed to explain what it made of </w:t>
      </w:r>
      <w:r w:rsidR="00EE299A" w:rsidRPr="00E20185">
        <w:rPr>
          <w:rFonts w:ascii="Arial" w:hAnsi="Arial" w:cs="Arial"/>
          <w:sz w:val="24"/>
          <w:szCs w:val="24"/>
        </w:rPr>
        <w:t>the appellant’s</w:t>
      </w:r>
      <w:r w:rsidR="009D0F21" w:rsidRPr="00E20185">
        <w:rPr>
          <w:rFonts w:ascii="Arial" w:hAnsi="Arial" w:cs="Arial"/>
          <w:sz w:val="24"/>
          <w:szCs w:val="24"/>
        </w:rPr>
        <w:t xml:space="preserve"> contention that he did not take up the opportunity to join a physiotherapy class for lower limb problems due to anxiety about the journey to a nearby town where it was held. </w:t>
      </w:r>
      <w:r w:rsidR="009F54B4">
        <w:rPr>
          <w:rFonts w:ascii="Arial" w:hAnsi="Arial" w:cs="Arial"/>
          <w:sz w:val="24"/>
          <w:szCs w:val="24"/>
        </w:rPr>
        <w:t xml:space="preserve"> </w:t>
      </w:r>
      <w:r w:rsidR="00EE299A" w:rsidRPr="00E20185">
        <w:rPr>
          <w:rFonts w:ascii="Arial" w:hAnsi="Arial" w:cs="Arial"/>
          <w:sz w:val="24"/>
          <w:szCs w:val="24"/>
        </w:rPr>
        <w:t xml:space="preserve">He feels, I think with justification, that there may have been some misunderstanding of his explaining that he could leave the house to go to a local shop, but would have difficulties in making the journey to Dungannon.  </w:t>
      </w:r>
      <w:r w:rsidR="009F54B4">
        <w:rPr>
          <w:rFonts w:ascii="Arial" w:hAnsi="Arial" w:cs="Arial"/>
          <w:sz w:val="24"/>
          <w:szCs w:val="24"/>
        </w:rPr>
        <w:t xml:space="preserve"> </w:t>
      </w:r>
      <w:r w:rsidR="009D0F21" w:rsidRPr="00E20185">
        <w:rPr>
          <w:rFonts w:ascii="Arial" w:hAnsi="Arial" w:cs="Arial"/>
          <w:sz w:val="24"/>
          <w:szCs w:val="24"/>
        </w:rPr>
        <w:t>There are a number of references in the statement to reasons to the tribunal accepting the evidence of the appellant on different issues, and if they rejected his evidence on this, they should have dealt with why that was.</w:t>
      </w:r>
    </w:p>
    <w:p w14:paraId="08B8C309" w14:textId="77777777" w:rsidR="004748B2" w:rsidRPr="00E20185" w:rsidRDefault="004748B2" w:rsidP="00F83D52">
      <w:pPr>
        <w:tabs>
          <w:tab w:val="left" w:pos="510"/>
          <w:tab w:val="left" w:pos="1077"/>
          <w:tab w:val="left" w:pos="1797"/>
        </w:tabs>
        <w:spacing w:after="0" w:line="240" w:lineRule="auto"/>
        <w:ind w:left="510" w:hanging="510"/>
        <w:contextualSpacing/>
        <w:jc w:val="both"/>
        <w:rPr>
          <w:rFonts w:ascii="Arial" w:hAnsi="Arial" w:cs="Arial"/>
          <w:sz w:val="24"/>
          <w:szCs w:val="24"/>
        </w:rPr>
      </w:pPr>
    </w:p>
    <w:p w14:paraId="331EEE3D" w14:textId="1FAD16DD" w:rsidR="004748B2" w:rsidRPr="00E20185" w:rsidRDefault="00B00C32" w:rsidP="00F83D52">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19</w:t>
      </w:r>
      <w:r w:rsidR="009F54B4">
        <w:rPr>
          <w:rFonts w:ascii="Arial" w:hAnsi="Arial" w:cs="Arial"/>
          <w:sz w:val="24"/>
          <w:szCs w:val="24"/>
        </w:rPr>
        <w:t>.</w:t>
      </w:r>
      <w:r w:rsidR="009F54B4">
        <w:rPr>
          <w:rFonts w:ascii="Arial" w:hAnsi="Arial" w:cs="Arial"/>
          <w:sz w:val="24"/>
          <w:szCs w:val="24"/>
        </w:rPr>
        <w:tab/>
      </w:r>
      <w:r w:rsidR="009D0F21" w:rsidRPr="00E20185">
        <w:rPr>
          <w:rFonts w:ascii="Arial" w:hAnsi="Arial" w:cs="Arial"/>
          <w:sz w:val="24"/>
          <w:szCs w:val="24"/>
        </w:rPr>
        <w:t>A</w:t>
      </w:r>
      <w:r w:rsidR="00A429D7" w:rsidRPr="00E20185">
        <w:rPr>
          <w:rFonts w:ascii="Arial" w:hAnsi="Arial" w:cs="Arial"/>
          <w:sz w:val="24"/>
          <w:szCs w:val="24"/>
        </w:rPr>
        <w:t>ctivity 9, engaging with other people, was clearly raised</w:t>
      </w:r>
      <w:r w:rsidR="000E698C" w:rsidRPr="00E20185">
        <w:rPr>
          <w:rFonts w:ascii="Arial" w:hAnsi="Arial" w:cs="Arial"/>
          <w:sz w:val="24"/>
          <w:szCs w:val="24"/>
        </w:rPr>
        <w:t xml:space="preserve"> and considered</w:t>
      </w:r>
      <w:r w:rsidR="00A429D7" w:rsidRPr="00E20185">
        <w:rPr>
          <w:rFonts w:ascii="Arial" w:hAnsi="Arial" w:cs="Arial"/>
          <w:sz w:val="24"/>
          <w:szCs w:val="24"/>
        </w:rPr>
        <w:t xml:space="preserve"> during the hearing. </w:t>
      </w:r>
      <w:r w:rsidR="009F54B4">
        <w:rPr>
          <w:rFonts w:ascii="Arial" w:hAnsi="Arial" w:cs="Arial"/>
          <w:sz w:val="24"/>
          <w:szCs w:val="24"/>
        </w:rPr>
        <w:t xml:space="preserve"> </w:t>
      </w:r>
      <w:r w:rsidR="00A429D7" w:rsidRPr="00E20185">
        <w:rPr>
          <w:rFonts w:ascii="Arial" w:hAnsi="Arial" w:cs="Arial"/>
          <w:sz w:val="24"/>
          <w:szCs w:val="24"/>
        </w:rPr>
        <w:t xml:space="preserve">As I have said above the tribunal said in its reasons that (despite the aberrant decision notice) </w:t>
      </w:r>
      <w:r w:rsidR="00EE299A" w:rsidRPr="00E20185">
        <w:rPr>
          <w:rFonts w:ascii="Arial" w:hAnsi="Arial" w:cs="Arial"/>
          <w:sz w:val="24"/>
          <w:szCs w:val="24"/>
        </w:rPr>
        <w:t xml:space="preserve">it accepted </w:t>
      </w:r>
      <w:r w:rsidR="00A429D7" w:rsidRPr="00E20185">
        <w:rPr>
          <w:rFonts w:ascii="Arial" w:hAnsi="Arial" w:cs="Arial"/>
          <w:sz w:val="24"/>
          <w:szCs w:val="24"/>
        </w:rPr>
        <w:t>the appellant</w:t>
      </w:r>
      <w:r w:rsidR="00F5051D" w:rsidRPr="00E20185">
        <w:rPr>
          <w:rFonts w:ascii="Arial" w:hAnsi="Arial" w:cs="Arial"/>
          <w:sz w:val="24"/>
          <w:szCs w:val="24"/>
        </w:rPr>
        <w:t xml:space="preserve"> had difficulties engaging with other people, </w:t>
      </w:r>
      <w:r w:rsidR="00A429D7" w:rsidRPr="00E20185">
        <w:rPr>
          <w:rFonts w:ascii="Arial" w:hAnsi="Arial" w:cs="Arial"/>
          <w:sz w:val="24"/>
          <w:szCs w:val="24"/>
        </w:rPr>
        <w:t>merit</w:t>
      </w:r>
      <w:r w:rsidR="00F5051D" w:rsidRPr="00E20185">
        <w:rPr>
          <w:rFonts w:ascii="Arial" w:hAnsi="Arial" w:cs="Arial"/>
          <w:sz w:val="24"/>
          <w:szCs w:val="24"/>
        </w:rPr>
        <w:t>ing</w:t>
      </w:r>
      <w:r w:rsidR="00A429D7" w:rsidRPr="00E20185">
        <w:rPr>
          <w:rFonts w:ascii="Arial" w:hAnsi="Arial" w:cs="Arial"/>
          <w:sz w:val="24"/>
          <w:szCs w:val="24"/>
        </w:rPr>
        <w:t xml:space="preserve"> two points as he needed to be prompted to engage.  What it did not do, however, was to explain why prompting was the descriptor of choice rather than one </w:t>
      </w:r>
      <w:r w:rsidR="00F5051D" w:rsidRPr="00E20185">
        <w:rPr>
          <w:rFonts w:ascii="Arial" w:hAnsi="Arial" w:cs="Arial"/>
          <w:sz w:val="24"/>
          <w:szCs w:val="24"/>
        </w:rPr>
        <w:t>of</w:t>
      </w:r>
      <w:r w:rsidR="00A429D7" w:rsidRPr="00E20185">
        <w:rPr>
          <w:rFonts w:ascii="Arial" w:hAnsi="Arial" w:cs="Arial"/>
          <w:sz w:val="24"/>
          <w:szCs w:val="24"/>
        </w:rPr>
        <w:t xml:space="preserve"> the higher </w:t>
      </w:r>
      <w:r w:rsidR="00F5051D" w:rsidRPr="00E20185">
        <w:rPr>
          <w:rFonts w:ascii="Arial" w:hAnsi="Arial" w:cs="Arial"/>
          <w:sz w:val="24"/>
          <w:szCs w:val="24"/>
        </w:rPr>
        <w:t>scoring descriptors.</w:t>
      </w:r>
    </w:p>
    <w:p w14:paraId="44A655F4" w14:textId="77777777" w:rsidR="004748B2" w:rsidRPr="00E20185" w:rsidRDefault="004748B2" w:rsidP="00F83D52">
      <w:pPr>
        <w:pStyle w:val="ListParagraph"/>
        <w:tabs>
          <w:tab w:val="left" w:pos="510"/>
          <w:tab w:val="left" w:pos="1077"/>
          <w:tab w:val="left" w:pos="1797"/>
        </w:tabs>
        <w:spacing w:after="0" w:line="240" w:lineRule="auto"/>
        <w:ind w:left="510" w:hanging="510"/>
        <w:rPr>
          <w:rFonts w:ascii="Arial" w:hAnsi="Arial" w:cs="Arial"/>
          <w:sz w:val="24"/>
          <w:szCs w:val="24"/>
        </w:rPr>
      </w:pPr>
    </w:p>
    <w:p w14:paraId="3C3C4988" w14:textId="5E320CE2" w:rsidR="004748B2" w:rsidRPr="00E20185" w:rsidRDefault="009F54B4" w:rsidP="00F83D52">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2</w:t>
      </w:r>
      <w:r w:rsidR="00B00C32">
        <w:rPr>
          <w:rFonts w:ascii="Arial" w:hAnsi="Arial" w:cs="Arial"/>
          <w:sz w:val="24"/>
          <w:szCs w:val="24"/>
        </w:rPr>
        <w:t>0</w:t>
      </w:r>
      <w:r>
        <w:rPr>
          <w:rFonts w:ascii="Arial" w:hAnsi="Arial" w:cs="Arial"/>
          <w:sz w:val="24"/>
          <w:szCs w:val="24"/>
        </w:rPr>
        <w:t>.</w:t>
      </w:r>
      <w:r>
        <w:rPr>
          <w:rFonts w:ascii="Arial" w:hAnsi="Arial" w:cs="Arial"/>
          <w:sz w:val="24"/>
          <w:szCs w:val="24"/>
        </w:rPr>
        <w:tab/>
      </w:r>
      <w:r w:rsidR="009D0F21" w:rsidRPr="00E20185">
        <w:rPr>
          <w:rFonts w:ascii="Arial" w:hAnsi="Arial" w:cs="Arial"/>
          <w:sz w:val="24"/>
          <w:szCs w:val="24"/>
        </w:rPr>
        <w:t xml:space="preserve">I mention at this stage, for the benefit of the fresh tribunal, the Supreme Court decision in </w:t>
      </w:r>
      <w:r w:rsidR="00EE299A" w:rsidRPr="00E20185">
        <w:rPr>
          <w:rFonts w:ascii="Arial" w:hAnsi="Arial" w:cs="Arial"/>
          <w:i/>
          <w:iCs/>
          <w:sz w:val="24"/>
          <w:szCs w:val="24"/>
        </w:rPr>
        <w:t>Secretary of State for Work and Pensions v MM</w:t>
      </w:r>
      <w:r w:rsidR="00EE299A" w:rsidRPr="00E20185">
        <w:rPr>
          <w:rFonts w:ascii="Arial" w:hAnsi="Arial" w:cs="Arial"/>
          <w:sz w:val="24"/>
          <w:szCs w:val="24"/>
        </w:rPr>
        <w:t xml:space="preserve"> [2019] UKSC 34, in which the differences between 9b and 9c, prompting and social support are explained.  In highlighting that, I do not mean to exclude any consideration of the </w:t>
      </w:r>
      <w:r w:rsidR="00340EF4" w:rsidRPr="00E20185">
        <w:rPr>
          <w:rFonts w:ascii="Arial" w:hAnsi="Arial" w:cs="Arial"/>
          <w:sz w:val="24"/>
          <w:szCs w:val="24"/>
        </w:rPr>
        <w:t xml:space="preserve">higher </w:t>
      </w:r>
      <w:r w:rsidR="00EE299A" w:rsidRPr="00E20185">
        <w:rPr>
          <w:rFonts w:ascii="Arial" w:hAnsi="Arial" w:cs="Arial"/>
          <w:sz w:val="24"/>
          <w:szCs w:val="24"/>
        </w:rPr>
        <w:t>point descriptors.</w:t>
      </w:r>
    </w:p>
    <w:p w14:paraId="6FDDC2B7" w14:textId="77777777" w:rsidR="004748B2" w:rsidRPr="00E20185" w:rsidRDefault="004748B2" w:rsidP="00F83D52">
      <w:pPr>
        <w:pStyle w:val="ListParagraph"/>
        <w:tabs>
          <w:tab w:val="left" w:pos="510"/>
          <w:tab w:val="left" w:pos="1077"/>
          <w:tab w:val="left" w:pos="1797"/>
        </w:tabs>
        <w:spacing w:after="0" w:line="240" w:lineRule="auto"/>
        <w:ind w:left="510" w:hanging="510"/>
        <w:rPr>
          <w:rFonts w:ascii="Arial" w:hAnsi="Arial" w:cs="Arial"/>
          <w:sz w:val="24"/>
          <w:szCs w:val="24"/>
        </w:rPr>
      </w:pPr>
    </w:p>
    <w:p w14:paraId="2983DE4B" w14:textId="49EA6EA6" w:rsidR="00514F17" w:rsidRPr="00E20185" w:rsidRDefault="00F83D52" w:rsidP="00F83D52">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2</w:t>
      </w:r>
      <w:r w:rsidR="00B00C32">
        <w:rPr>
          <w:rFonts w:ascii="Arial" w:hAnsi="Arial" w:cs="Arial"/>
          <w:sz w:val="24"/>
          <w:szCs w:val="24"/>
        </w:rPr>
        <w:t>1</w:t>
      </w:r>
      <w:r>
        <w:rPr>
          <w:rFonts w:ascii="Arial" w:hAnsi="Arial" w:cs="Arial"/>
          <w:sz w:val="24"/>
          <w:szCs w:val="24"/>
        </w:rPr>
        <w:t>.</w:t>
      </w:r>
      <w:r>
        <w:rPr>
          <w:rFonts w:ascii="Arial" w:hAnsi="Arial" w:cs="Arial"/>
          <w:sz w:val="24"/>
          <w:szCs w:val="24"/>
        </w:rPr>
        <w:tab/>
      </w:r>
      <w:r w:rsidR="000E698C" w:rsidRPr="00E20185">
        <w:rPr>
          <w:rFonts w:ascii="Arial" w:hAnsi="Arial" w:cs="Arial"/>
          <w:sz w:val="24"/>
          <w:szCs w:val="24"/>
        </w:rPr>
        <w:t>A further matter that has not been mentioned previously but which I consider to be a material error is that in its explanation for the lack of any point</w:t>
      </w:r>
      <w:r w:rsidR="00807678" w:rsidRPr="00E20185">
        <w:rPr>
          <w:rFonts w:ascii="Arial" w:hAnsi="Arial" w:cs="Arial"/>
          <w:sz w:val="24"/>
          <w:szCs w:val="24"/>
        </w:rPr>
        <w:t>s</w:t>
      </w:r>
      <w:r w:rsidR="000E698C" w:rsidRPr="00E20185">
        <w:rPr>
          <w:rFonts w:ascii="Arial" w:hAnsi="Arial" w:cs="Arial"/>
          <w:sz w:val="24"/>
          <w:szCs w:val="24"/>
        </w:rPr>
        <w:t xml:space="preserve"> in respect of dressing,</w:t>
      </w:r>
      <w:r w:rsidR="00807678" w:rsidRPr="00E20185">
        <w:rPr>
          <w:rFonts w:ascii="Arial" w:hAnsi="Arial" w:cs="Arial"/>
          <w:sz w:val="24"/>
          <w:szCs w:val="24"/>
        </w:rPr>
        <w:t xml:space="preserve"> the tribunal makes</w:t>
      </w:r>
      <w:r w:rsidR="000E698C" w:rsidRPr="00E20185">
        <w:rPr>
          <w:rFonts w:ascii="Arial" w:hAnsi="Arial" w:cs="Arial"/>
          <w:sz w:val="24"/>
          <w:szCs w:val="24"/>
        </w:rPr>
        <w:t xml:space="preserve"> specific reference</w:t>
      </w:r>
      <w:r w:rsidR="00807678" w:rsidRPr="00E20185">
        <w:rPr>
          <w:rFonts w:ascii="Arial" w:hAnsi="Arial" w:cs="Arial"/>
          <w:sz w:val="24"/>
          <w:szCs w:val="24"/>
        </w:rPr>
        <w:t xml:space="preserve"> </w:t>
      </w:r>
      <w:r w:rsidR="000E698C" w:rsidRPr="00E20185">
        <w:rPr>
          <w:rFonts w:ascii="Arial" w:hAnsi="Arial" w:cs="Arial"/>
          <w:sz w:val="24"/>
          <w:szCs w:val="24"/>
        </w:rPr>
        <w:t>to the fact that the appellant “wears loose-fitting socks to assist him with this”</w:t>
      </w:r>
      <w:r w:rsidR="00514F17" w:rsidRPr="00E20185">
        <w:rPr>
          <w:rFonts w:ascii="Arial" w:hAnsi="Arial" w:cs="Arial"/>
          <w:sz w:val="24"/>
          <w:szCs w:val="24"/>
        </w:rPr>
        <w:t>.</w:t>
      </w:r>
      <w:r w:rsidR="000E698C" w:rsidRPr="00E20185">
        <w:rPr>
          <w:rFonts w:ascii="Arial" w:hAnsi="Arial" w:cs="Arial"/>
          <w:sz w:val="24"/>
          <w:szCs w:val="24"/>
        </w:rPr>
        <w:t xml:space="preserve">  </w:t>
      </w:r>
      <w:r w:rsidR="009D0F21" w:rsidRPr="00E20185">
        <w:rPr>
          <w:rFonts w:ascii="Arial" w:hAnsi="Arial" w:cs="Arial"/>
          <w:sz w:val="24"/>
          <w:szCs w:val="24"/>
        </w:rPr>
        <w:t>The tribunal also mentions an apparent qualification in relation to putting on shoes, the appellant stating that this could, at times, be sore.</w:t>
      </w:r>
    </w:p>
    <w:p w14:paraId="42F3A7CE" w14:textId="77777777" w:rsidR="00514F17" w:rsidRPr="00E20185" w:rsidRDefault="00514F17" w:rsidP="00F83D52">
      <w:pPr>
        <w:pStyle w:val="ListParagraph"/>
        <w:tabs>
          <w:tab w:val="left" w:pos="510"/>
          <w:tab w:val="left" w:pos="1077"/>
          <w:tab w:val="left" w:pos="1797"/>
        </w:tabs>
        <w:spacing w:after="0" w:line="240" w:lineRule="auto"/>
        <w:ind w:left="510" w:hanging="510"/>
        <w:rPr>
          <w:rFonts w:ascii="Arial" w:hAnsi="Arial" w:cs="Arial"/>
          <w:sz w:val="24"/>
          <w:szCs w:val="24"/>
        </w:rPr>
      </w:pPr>
    </w:p>
    <w:p w14:paraId="18796B65" w14:textId="4055C55B" w:rsidR="00514F17" w:rsidRPr="00E20185" w:rsidRDefault="00F83D52" w:rsidP="00F83D52">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2</w:t>
      </w:r>
      <w:r w:rsidR="00B00C32">
        <w:rPr>
          <w:rFonts w:ascii="Arial" w:hAnsi="Arial" w:cs="Arial"/>
          <w:sz w:val="24"/>
          <w:szCs w:val="24"/>
        </w:rPr>
        <w:t>2</w:t>
      </w:r>
      <w:r>
        <w:rPr>
          <w:rFonts w:ascii="Arial" w:hAnsi="Arial" w:cs="Arial"/>
          <w:sz w:val="24"/>
          <w:szCs w:val="24"/>
        </w:rPr>
        <w:t>.</w:t>
      </w:r>
      <w:r>
        <w:rPr>
          <w:rFonts w:ascii="Arial" w:hAnsi="Arial" w:cs="Arial"/>
          <w:sz w:val="24"/>
          <w:szCs w:val="24"/>
        </w:rPr>
        <w:tab/>
      </w:r>
      <w:r w:rsidR="001E1EA6" w:rsidRPr="00E20185">
        <w:rPr>
          <w:rFonts w:ascii="Arial" w:hAnsi="Arial" w:cs="Arial"/>
          <w:sz w:val="24"/>
          <w:szCs w:val="24"/>
        </w:rPr>
        <w:t>In Part 1 of the Schedule to the PIP Regulations</w:t>
      </w:r>
      <w:r w:rsidR="000D577F" w:rsidRPr="00E20185">
        <w:rPr>
          <w:rFonts w:ascii="Arial" w:hAnsi="Arial" w:cs="Arial"/>
          <w:sz w:val="24"/>
          <w:szCs w:val="24"/>
        </w:rPr>
        <w:t>,</w:t>
      </w:r>
      <w:r w:rsidR="001E1EA6" w:rsidRPr="00E20185">
        <w:rPr>
          <w:rFonts w:ascii="Arial" w:hAnsi="Arial" w:cs="Arial"/>
          <w:sz w:val="24"/>
          <w:szCs w:val="24"/>
        </w:rPr>
        <w:t xml:space="preserve"> </w:t>
      </w:r>
      <w:r w:rsidR="000D577F" w:rsidRPr="00E20185">
        <w:rPr>
          <w:rFonts w:ascii="Arial" w:hAnsi="Arial" w:cs="Arial"/>
          <w:sz w:val="24"/>
          <w:szCs w:val="24"/>
        </w:rPr>
        <w:t>I</w:t>
      </w:r>
      <w:r w:rsidR="001E1EA6" w:rsidRPr="00E20185">
        <w:rPr>
          <w:rFonts w:ascii="Arial" w:hAnsi="Arial" w:cs="Arial"/>
          <w:sz w:val="24"/>
          <w:szCs w:val="24"/>
        </w:rPr>
        <w:t>nterpretations</w:t>
      </w:r>
      <w:r w:rsidR="000D577F" w:rsidRPr="00E20185">
        <w:rPr>
          <w:rFonts w:ascii="Arial" w:hAnsi="Arial" w:cs="Arial"/>
          <w:sz w:val="24"/>
          <w:szCs w:val="24"/>
        </w:rPr>
        <w:t>, sets out that</w:t>
      </w:r>
      <w:r w:rsidR="001E1EA6" w:rsidRPr="00E20185">
        <w:rPr>
          <w:rFonts w:ascii="Arial" w:hAnsi="Arial" w:cs="Arial"/>
          <w:sz w:val="24"/>
          <w:szCs w:val="24"/>
        </w:rPr>
        <w:t xml:space="preserve"> “dress and undress” includes put on and take off socks and shoes.  It is not necessary to have problems with both </w:t>
      </w:r>
      <w:r w:rsidR="000D577F" w:rsidRPr="00E20185">
        <w:rPr>
          <w:rFonts w:ascii="Arial" w:hAnsi="Arial" w:cs="Arial"/>
          <w:sz w:val="24"/>
          <w:szCs w:val="24"/>
        </w:rPr>
        <w:t>putting on and taking off</w:t>
      </w:r>
      <w:r w:rsidR="001E1EA6" w:rsidRPr="00E20185">
        <w:rPr>
          <w:rFonts w:ascii="Arial" w:hAnsi="Arial" w:cs="Arial"/>
          <w:sz w:val="24"/>
          <w:szCs w:val="24"/>
        </w:rPr>
        <w:t>; difficulties with either are sufficient.</w:t>
      </w:r>
    </w:p>
    <w:p w14:paraId="0519C834" w14:textId="77777777" w:rsidR="00514F17" w:rsidRPr="00E20185" w:rsidRDefault="00514F17" w:rsidP="00F83D52">
      <w:pPr>
        <w:pStyle w:val="ListParagraph"/>
        <w:tabs>
          <w:tab w:val="left" w:pos="510"/>
          <w:tab w:val="left" w:pos="1077"/>
          <w:tab w:val="left" w:pos="1797"/>
        </w:tabs>
        <w:spacing w:after="0" w:line="240" w:lineRule="auto"/>
        <w:ind w:left="510" w:hanging="510"/>
        <w:rPr>
          <w:rFonts w:ascii="Arial" w:hAnsi="Arial" w:cs="Arial"/>
          <w:sz w:val="24"/>
          <w:szCs w:val="24"/>
        </w:rPr>
      </w:pPr>
    </w:p>
    <w:p w14:paraId="49222372" w14:textId="305E607D" w:rsidR="00514F17" w:rsidRPr="00E20185" w:rsidRDefault="00F83D52" w:rsidP="00F83D52">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2</w:t>
      </w:r>
      <w:r w:rsidR="00B00C32">
        <w:rPr>
          <w:rFonts w:ascii="Arial" w:hAnsi="Arial" w:cs="Arial"/>
          <w:sz w:val="24"/>
          <w:szCs w:val="24"/>
        </w:rPr>
        <w:t>3</w:t>
      </w:r>
      <w:r>
        <w:rPr>
          <w:rFonts w:ascii="Arial" w:hAnsi="Arial" w:cs="Arial"/>
          <w:sz w:val="24"/>
          <w:szCs w:val="24"/>
        </w:rPr>
        <w:t>.</w:t>
      </w:r>
      <w:r>
        <w:rPr>
          <w:rFonts w:ascii="Arial" w:hAnsi="Arial" w:cs="Arial"/>
          <w:sz w:val="24"/>
          <w:szCs w:val="24"/>
        </w:rPr>
        <w:tab/>
      </w:r>
      <w:r w:rsidR="001E1EA6" w:rsidRPr="00E20185">
        <w:rPr>
          <w:rFonts w:ascii="Arial" w:hAnsi="Arial" w:cs="Arial"/>
          <w:sz w:val="24"/>
          <w:szCs w:val="24"/>
        </w:rPr>
        <w:t>The new tribunal can take evidence as to why the appellant needs to wear loose socks, and generally how he accomplishes putting them on and taking them off.</w:t>
      </w:r>
    </w:p>
    <w:p w14:paraId="3DB69ADD" w14:textId="77777777" w:rsidR="00514F17" w:rsidRPr="00E20185" w:rsidRDefault="00514F17" w:rsidP="00F83D52">
      <w:pPr>
        <w:pStyle w:val="ListParagraph"/>
        <w:tabs>
          <w:tab w:val="left" w:pos="510"/>
          <w:tab w:val="left" w:pos="1077"/>
          <w:tab w:val="left" w:pos="1797"/>
        </w:tabs>
        <w:spacing w:after="0" w:line="240" w:lineRule="auto"/>
        <w:ind w:left="510" w:hanging="510"/>
        <w:rPr>
          <w:rFonts w:ascii="Arial" w:hAnsi="Arial" w:cs="Arial"/>
          <w:i/>
          <w:iCs/>
          <w:sz w:val="24"/>
          <w:szCs w:val="24"/>
        </w:rPr>
      </w:pPr>
    </w:p>
    <w:p w14:paraId="215FF0F2" w14:textId="6D5EE1A4" w:rsidR="00514F17" w:rsidRPr="00E20185" w:rsidRDefault="00F83D52" w:rsidP="00F83D52">
      <w:pPr>
        <w:tabs>
          <w:tab w:val="left" w:pos="510"/>
          <w:tab w:val="left" w:pos="1077"/>
          <w:tab w:val="left" w:pos="1797"/>
        </w:tabs>
        <w:spacing w:after="0" w:line="240" w:lineRule="auto"/>
        <w:ind w:left="510" w:hanging="510"/>
        <w:contextualSpacing/>
        <w:jc w:val="both"/>
        <w:rPr>
          <w:rFonts w:ascii="Arial" w:hAnsi="Arial" w:cs="Arial"/>
          <w:sz w:val="24"/>
          <w:szCs w:val="24"/>
        </w:rPr>
      </w:pPr>
      <w:r w:rsidRPr="00F83D52">
        <w:rPr>
          <w:rFonts w:ascii="Arial" w:hAnsi="Arial" w:cs="Arial"/>
          <w:sz w:val="24"/>
          <w:szCs w:val="24"/>
        </w:rPr>
        <w:t>2</w:t>
      </w:r>
      <w:r w:rsidR="00B00C32">
        <w:rPr>
          <w:rFonts w:ascii="Arial" w:hAnsi="Arial" w:cs="Arial"/>
          <w:sz w:val="24"/>
          <w:szCs w:val="24"/>
        </w:rPr>
        <w:t>4</w:t>
      </w:r>
      <w:r w:rsidRPr="00F83D52">
        <w:rPr>
          <w:rFonts w:ascii="Arial" w:hAnsi="Arial" w:cs="Arial"/>
          <w:sz w:val="24"/>
          <w:szCs w:val="24"/>
        </w:rPr>
        <w:t>.</w:t>
      </w:r>
      <w:r w:rsidRPr="00F83D52">
        <w:rPr>
          <w:rFonts w:ascii="Arial" w:hAnsi="Arial" w:cs="Arial"/>
          <w:sz w:val="24"/>
          <w:szCs w:val="24"/>
        </w:rPr>
        <w:tab/>
      </w:r>
      <w:r w:rsidR="001E1EA6" w:rsidRPr="00E20185">
        <w:rPr>
          <w:rFonts w:ascii="Arial" w:hAnsi="Arial" w:cs="Arial"/>
          <w:i/>
          <w:iCs/>
          <w:sz w:val="24"/>
          <w:szCs w:val="24"/>
        </w:rPr>
        <w:t>PE v Secretary of State for Work and Pensions</w:t>
      </w:r>
      <w:r w:rsidR="001E1EA6" w:rsidRPr="00E20185">
        <w:rPr>
          <w:rFonts w:ascii="Arial" w:hAnsi="Arial" w:cs="Arial"/>
          <w:sz w:val="24"/>
          <w:szCs w:val="24"/>
        </w:rPr>
        <w:t xml:space="preserve"> [2015] UKUT 309 (AAC) was about a person who managed dressing and </w:t>
      </w:r>
      <w:r w:rsidR="00976FD8" w:rsidRPr="00E20185">
        <w:rPr>
          <w:rFonts w:ascii="Arial" w:hAnsi="Arial" w:cs="Arial"/>
          <w:sz w:val="24"/>
          <w:szCs w:val="24"/>
        </w:rPr>
        <w:t>un</w:t>
      </w:r>
      <w:r w:rsidR="001E1EA6" w:rsidRPr="00E20185">
        <w:rPr>
          <w:rFonts w:ascii="Arial" w:hAnsi="Arial" w:cs="Arial"/>
          <w:sz w:val="24"/>
          <w:szCs w:val="24"/>
        </w:rPr>
        <w:t>dressing by wearing “easy to wear” clothing.  Upper Tribunal Judge Jacobs established that one can neither elevate the degree of disability by insisting on wearing clothes that are difficult to manage, nor be expected to reduce the level of</w:t>
      </w:r>
      <w:r w:rsidR="000D577F" w:rsidRPr="00E20185">
        <w:rPr>
          <w:rFonts w:ascii="Arial" w:hAnsi="Arial" w:cs="Arial"/>
          <w:sz w:val="24"/>
          <w:szCs w:val="24"/>
        </w:rPr>
        <w:t xml:space="preserve"> one</w:t>
      </w:r>
      <w:r w:rsidR="00340EF4" w:rsidRPr="00E20185">
        <w:rPr>
          <w:rFonts w:ascii="Arial" w:hAnsi="Arial" w:cs="Arial"/>
          <w:sz w:val="24"/>
          <w:szCs w:val="24"/>
        </w:rPr>
        <w:t>’</w:t>
      </w:r>
      <w:r w:rsidR="000D577F" w:rsidRPr="00E20185">
        <w:rPr>
          <w:rFonts w:ascii="Arial" w:hAnsi="Arial" w:cs="Arial"/>
          <w:sz w:val="24"/>
          <w:szCs w:val="24"/>
        </w:rPr>
        <w:t>s</w:t>
      </w:r>
      <w:r w:rsidR="001E1EA6" w:rsidRPr="00E20185">
        <w:rPr>
          <w:rFonts w:ascii="Arial" w:hAnsi="Arial" w:cs="Arial"/>
          <w:sz w:val="24"/>
          <w:szCs w:val="24"/>
        </w:rPr>
        <w:t xml:space="preserve"> disability by wearing only loose fitting and elasticated clothes. </w:t>
      </w:r>
      <w:r>
        <w:rPr>
          <w:rFonts w:ascii="Arial" w:hAnsi="Arial" w:cs="Arial"/>
          <w:sz w:val="24"/>
          <w:szCs w:val="24"/>
        </w:rPr>
        <w:t xml:space="preserve"> </w:t>
      </w:r>
      <w:r w:rsidR="000D577F" w:rsidRPr="00E20185">
        <w:rPr>
          <w:rFonts w:ascii="Arial" w:hAnsi="Arial" w:cs="Arial"/>
          <w:sz w:val="24"/>
          <w:szCs w:val="24"/>
        </w:rPr>
        <w:t xml:space="preserve">In England and Wales the DWP PIP Assessment Guide makes </w:t>
      </w:r>
      <w:r w:rsidR="001E1EA6" w:rsidRPr="00E20185">
        <w:rPr>
          <w:rFonts w:ascii="Arial" w:hAnsi="Arial" w:cs="Arial"/>
          <w:sz w:val="24"/>
          <w:szCs w:val="24"/>
        </w:rPr>
        <w:t>reference</w:t>
      </w:r>
      <w:r w:rsidR="000D577F" w:rsidRPr="00E20185">
        <w:rPr>
          <w:rFonts w:ascii="Arial" w:hAnsi="Arial" w:cs="Arial"/>
          <w:sz w:val="24"/>
          <w:szCs w:val="24"/>
        </w:rPr>
        <w:t xml:space="preserve"> to</w:t>
      </w:r>
      <w:r w:rsidR="001E1EA6" w:rsidRPr="00E20185">
        <w:rPr>
          <w:rFonts w:ascii="Arial" w:hAnsi="Arial" w:cs="Arial"/>
          <w:sz w:val="24"/>
          <w:szCs w:val="24"/>
        </w:rPr>
        <w:t xml:space="preserve"> the use of “un-adapted” clothing.</w:t>
      </w:r>
    </w:p>
    <w:p w14:paraId="78AB3386" w14:textId="77777777" w:rsidR="00514F17" w:rsidRPr="00E20185" w:rsidRDefault="00514F17" w:rsidP="00F83D52">
      <w:pPr>
        <w:pStyle w:val="ListParagraph"/>
        <w:tabs>
          <w:tab w:val="left" w:pos="510"/>
          <w:tab w:val="left" w:pos="1077"/>
          <w:tab w:val="left" w:pos="1797"/>
        </w:tabs>
        <w:spacing w:after="0" w:line="240" w:lineRule="auto"/>
        <w:ind w:left="510" w:hanging="510"/>
        <w:rPr>
          <w:rFonts w:ascii="Arial" w:hAnsi="Arial" w:cs="Arial"/>
          <w:sz w:val="24"/>
          <w:szCs w:val="24"/>
        </w:rPr>
      </w:pPr>
    </w:p>
    <w:p w14:paraId="5AE4A40C" w14:textId="56E592E7" w:rsidR="00514F17" w:rsidRPr="00E20185" w:rsidRDefault="00F83D52" w:rsidP="00F83D52">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2</w:t>
      </w:r>
      <w:r w:rsidR="00B00C32">
        <w:rPr>
          <w:rFonts w:ascii="Arial" w:hAnsi="Arial" w:cs="Arial"/>
          <w:sz w:val="24"/>
          <w:szCs w:val="24"/>
        </w:rPr>
        <w:t>5</w:t>
      </w:r>
      <w:r>
        <w:rPr>
          <w:rFonts w:ascii="Arial" w:hAnsi="Arial" w:cs="Arial"/>
          <w:sz w:val="24"/>
          <w:szCs w:val="24"/>
        </w:rPr>
        <w:t>.</w:t>
      </w:r>
      <w:r>
        <w:rPr>
          <w:rFonts w:ascii="Arial" w:hAnsi="Arial" w:cs="Arial"/>
          <w:sz w:val="24"/>
          <w:szCs w:val="24"/>
        </w:rPr>
        <w:tab/>
      </w:r>
      <w:r w:rsidR="001E1EA6" w:rsidRPr="00E20185">
        <w:rPr>
          <w:rFonts w:ascii="Arial" w:hAnsi="Arial" w:cs="Arial"/>
          <w:sz w:val="24"/>
          <w:szCs w:val="24"/>
        </w:rPr>
        <w:t xml:space="preserve">The new tribunal will need to investigate this issue </w:t>
      </w:r>
      <w:r w:rsidR="00976FD8" w:rsidRPr="00E20185">
        <w:rPr>
          <w:rFonts w:ascii="Arial" w:hAnsi="Arial" w:cs="Arial"/>
          <w:sz w:val="24"/>
          <w:szCs w:val="24"/>
        </w:rPr>
        <w:t xml:space="preserve">of how the appellant manages socks </w:t>
      </w:r>
      <w:r w:rsidR="001E1EA6" w:rsidRPr="00E20185">
        <w:rPr>
          <w:rFonts w:ascii="Arial" w:hAnsi="Arial" w:cs="Arial"/>
          <w:sz w:val="24"/>
          <w:szCs w:val="24"/>
        </w:rPr>
        <w:t>using Judge Jacobs’ approach of looking at the ways in which the disability affect</w:t>
      </w:r>
      <w:r w:rsidR="00976FD8" w:rsidRPr="00E20185">
        <w:rPr>
          <w:rFonts w:ascii="Arial" w:hAnsi="Arial" w:cs="Arial"/>
          <w:sz w:val="24"/>
          <w:szCs w:val="24"/>
        </w:rPr>
        <w:t>s</w:t>
      </w:r>
      <w:r w:rsidR="001E1EA6" w:rsidRPr="00E20185">
        <w:rPr>
          <w:rFonts w:ascii="Arial" w:hAnsi="Arial" w:cs="Arial"/>
          <w:sz w:val="24"/>
          <w:szCs w:val="24"/>
        </w:rPr>
        <w:t xml:space="preserve"> the </w:t>
      </w:r>
      <w:r w:rsidR="00807678" w:rsidRPr="00E20185">
        <w:rPr>
          <w:rFonts w:ascii="Arial" w:hAnsi="Arial" w:cs="Arial"/>
          <w:sz w:val="24"/>
          <w:szCs w:val="24"/>
        </w:rPr>
        <w:t>capacity</w:t>
      </w:r>
      <w:r w:rsidR="001E1EA6" w:rsidRPr="00E20185">
        <w:rPr>
          <w:rFonts w:ascii="Arial" w:hAnsi="Arial" w:cs="Arial"/>
          <w:sz w:val="24"/>
          <w:szCs w:val="24"/>
        </w:rPr>
        <w:t xml:space="preserve"> to dress, including activities such as </w:t>
      </w:r>
      <w:r w:rsidR="00976FD8" w:rsidRPr="00E20185">
        <w:rPr>
          <w:rFonts w:ascii="Arial" w:hAnsi="Arial" w:cs="Arial"/>
          <w:sz w:val="24"/>
          <w:szCs w:val="24"/>
        </w:rPr>
        <w:t>b</w:t>
      </w:r>
      <w:r w:rsidR="001E1EA6" w:rsidRPr="00E20185">
        <w:rPr>
          <w:rFonts w:ascii="Arial" w:hAnsi="Arial" w:cs="Arial"/>
          <w:sz w:val="24"/>
          <w:szCs w:val="24"/>
        </w:rPr>
        <w:t xml:space="preserve">ending, reaching and twisting, </w:t>
      </w:r>
      <w:r w:rsidR="00976FD8" w:rsidRPr="00E20185">
        <w:rPr>
          <w:rFonts w:ascii="Arial" w:hAnsi="Arial" w:cs="Arial"/>
          <w:sz w:val="24"/>
          <w:szCs w:val="24"/>
        </w:rPr>
        <w:t xml:space="preserve">and </w:t>
      </w:r>
      <w:r w:rsidR="001E1EA6" w:rsidRPr="00E20185">
        <w:rPr>
          <w:rFonts w:ascii="Arial" w:hAnsi="Arial" w:cs="Arial"/>
          <w:sz w:val="24"/>
          <w:szCs w:val="24"/>
        </w:rPr>
        <w:t>any pain associated with th</w:t>
      </w:r>
      <w:r w:rsidR="00976FD8" w:rsidRPr="00E20185">
        <w:rPr>
          <w:rFonts w:ascii="Arial" w:hAnsi="Arial" w:cs="Arial"/>
          <w:sz w:val="24"/>
          <w:szCs w:val="24"/>
        </w:rPr>
        <w:t>ose</w:t>
      </w:r>
      <w:r w:rsidR="001E1EA6" w:rsidRPr="00E20185">
        <w:rPr>
          <w:rFonts w:ascii="Arial" w:hAnsi="Arial" w:cs="Arial"/>
          <w:sz w:val="24"/>
          <w:szCs w:val="24"/>
        </w:rPr>
        <w:t xml:space="preserve"> process</w:t>
      </w:r>
      <w:r w:rsidR="00976FD8" w:rsidRPr="00E20185">
        <w:rPr>
          <w:rFonts w:ascii="Arial" w:hAnsi="Arial" w:cs="Arial"/>
          <w:sz w:val="24"/>
          <w:szCs w:val="24"/>
        </w:rPr>
        <w:t>es</w:t>
      </w:r>
      <w:r w:rsidR="001E1EA6" w:rsidRPr="00E20185">
        <w:rPr>
          <w:rFonts w:ascii="Arial" w:hAnsi="Arial" w:cs="Arial"/>
          <w:sz w:val="24"/>
          <w:szCs w:val="24"/>
        </w:rPr>
        <w:t>.  They will also need to consider the effect that regulation 4(2A) might have in relation to the ability to dress or undress to an acceptable standard and within a reasonable time.</w:t>
      </w:r>
    </w:p>
    <w:p w14:paraId="107650AE" w14:textId="77777777" w:rsidR="00514F17" w:rsidRPr="00F83D52" w:rsidRDefault="00514F17" w:rsidP="00A306AA">
      <w:pPr>
        <w:pStyle w:val="ListParagraph"/>
        <w:tabs>
          <w:tab w:val="left" w:pos="510"/>
          <w:tab w:val="left" w:pos="1077"/>
          <w:tab w:val="left" w:pos="1797"/>
        </w:tabs>
        <w:spacing w:after="0" w:line="240" w:lineRule="auto"/>
        <w:ind w:left="0"/>
        <w:rPr>
          <w:rFonts w:ascii="Arial" w:hAnsi="Arial" w:cs="Arial"/>
          <w:sz w:val="24"/>
          <w:szCs w:val="24"/>
          <w:u w:val="single"/>
        </w:rPr>
      </w:pPr>
    </w:p>
    <w:p w14:paraId="3FEC21FE" w14:textId="77777777" w:rsidR="00F83D52" w:rsidRDefault="00F83D52">
      <w:pPr>
        <w:spacing w:after="0" w:line="240" w:lineRule="auto"/>
        <w:rPr>
          <w:rFonts w:ascii="Arial" w:hAnsi="Arial" w:cs="Arial"/>
          <w:b/>
          <w:bCs/>
          <w:sz w:val="24"/>
          <w:szCs w:val="24"/>
          <w:u w:val="single"/>
        </w:rPr>
      </w:pPr>
      <w:r>
        <w:rPr>
          <w:rFonts w:ascii="Arial" w:hAnsi="Arial" w:cs="Arial"/>
          <w:b/>
          <w:bCs/>
          <w:sz w:val="24"/>
          <w:szCs w:val="24"/>
          <w:u w:val="single"/>
        </w:rPr>
        <w:br w:type="page"/>
      </w:r>
    </w:p>
    <w:p w14:paraId="2601E167" w14:textId="60E0F559" w:rsidR="00514F17" w:rsidRPr="00E20185" w:rsidRDefault="00F83D52" w:rsidP="00A306AA">
      <w:pPr>
        <w:tabs>
          <w:tab w:val="left" w:pos="510"/>
          <w:tab w:val="left" w:pos="1077"/>
          <w:tab w:val="left" w:pos="1797"/>
        </w:tabs>
        <w:spacing w:after="0" w:line="240" w:lineRule="auto"/>
        <w:contextualSpacing/>
        <w:jc w:val="both"/>
        <w:rPr>
          <w:rFonts w:ascii="Arial" w:hAnsi="Arial" w:cs="Arial"/>
          <w:sz w:val="24"/>
          <w:szCs w:val="24"/>
        </w:rPr>
      </w:pPr>
      <w:r w:rsidRPr="00F83D52">
        <w:rPr>
          <w:rFonts w:ascii="Arial" w:hAnsi="Arial" w:cs="Arial"/>
          <w:b/>
          <w:bCs/>
          <w:sz w:val="24"/>
          <w:szCs w:val="24"/>
        </w:rPr>
        <w:lastRenderedPageBreak/>
        <w:tab/>
      </w:r>
      <w:r w:rsidR="00EE299A" w:rsidRPr="00E20185">
        <w:rPr>
          <w:rFonts w:ascii="Arial" w:hAnsi="Arial" w:cs="Arial"/>
          <w:b/>
          <w:bCs/>
          <w:sz w:val="24"/>
          <w:szCs w:val="24"/>
          <w:u w:val="single"/>
        </w:rPr>
        <w:t>Closing remarks for the appellant</w:t>
      </w:r>
    </w:p>
    <w:p w14:paraId="3130FD1E" w14:textId="77777777" w:rsidR="00514F17" w:rsidRPr="00E20185" w:rsidRDefault="00514F17" w:rsidP="00A306AA">
      <w:pPr>
        <w:pStyle w:val="ListParagraph"/>
        <w:tabs>
          <w:tab w:val="left" w:pos="510"/>
          <w:tab w:val="left" w:pos="1077"/>
          <w:tab w:val="left" w:pos="1797"/>
        </w:tabs>
        <w:spacing w:after="0" w:line="240" w:lineRule="auto"/>
        <w:ind w:left="0"/>
        <w:rPr>
          <w:rFonts w:ascii="Arial" w:hAnsi="Arial" w:cs="Arial"/>
          <w:sz w:val="24"/>
          <w:szCs w:val="24"/>
        </w:rPr>
      </w:pPr>
    </w:p>
    <w:p w14:paraId="3F6B336D" w14:textId="2BC58508" w:rsidR="00514F17" w:rsidRPr="00E20185" w:rsidRDefault="00AE2501" w:rsidP="00AE2501">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2</w:t>
      </w:r>
      <w:r w:rsidR="00B00C32">
        <w:rPr>
          <w:rFonts w:ascii="Arial" w:hAnsi="Arial" w:cs="Arial"/>
          <w:sz w:val="24"/>
          <w:szCs w:val="24"/>
        </w:rPr>
        <w:t>6</w:t>
      </w:r>
      <w:r>
        <w:rPr>
          <w:rFonts w:ascii="Arial" w:hAnsi="Arial" w:cs="Arial"/>
          <w:sz w:val="24"/>
          <w:szCs w:val="24"/>
        </w:rPr>
        <w:t>.</w:t>
      </w:r>
      <w:r>
        <w:rPr>
          <w:rFonts w:ascii="Arial" w:hAnsi="Arial" w:cs="Arial"/>
          <w:sz w:val="24"/>
          <w:szCs w:val="24"/>
        </w:rPr>
        <w:tab/>
      </w:r>
      <w:r w:rsidR="00B80AA7" w:rsidRPr="00E20185">
        <w:rPr>
          <w:rFonts w:ascii="Arial" w:hAnsi="Arial" w:cs="Arial"/>
          <w:sz w:val="24"/>
          <w:szCs w:val="24"/>
        </w:rPr>
        <w:t xml:space="preserve">My setting aside of the decision of the </w:t>
      </w:r>
      <w:r w:rsidR="00D8637E" w:rsidRPr="00E20185">
        <w:rPr>
          <w:rFonts w:ascii="Arial" w:hAnsi="Arial" w:cs="Arial"/>
          <w:sz w:val="24"/>
          <w:szCs w:val="24"/>
        </w:rPr>
        <w:t>Dungannon</w:t>
      </w:r>
      <w:r w:rsidR="00B80AA7" w:rsidRPr="00E20185">
        <w:rPr>
          <w:rFonts w:ascii="Arial" w:hAnsi="Arial" w:cs="Arial"/>
          <w:sz w:val="24"/>
          <w:szCs w:val="24"/>
        </w:rPr>
        <w:t xml:space="preserve"> tribunal </w:t>
      </w:r>
      <w:r w:rsidR="00D8637E" w:rsidRPr="00E20185">
        <w:rPr>
          <w:rFonts w:ascii="Arial" w:hAnsi="Arial" w:cs="Arial"/>
          <w:sz w:val="24"/>
          <w:szCs w:val="24"/>
        </w:rPr>
        <w:t>will mean the end</w:t>
      </w:r>
      <w:r w:rsidR="00514F17" w:rsidRPr="00E20185">
        <w:rPr>
          <w:rFonts w:ascii="Arial" w:hAnsi="Arial" w:cs="Arial"/>
          <w:sz w:val="24"/>
          <w:szCs w:val="24"/>
        </w:rPr>
        <w:t xml:space="preserve"> </w:t>
      </w:r>
      <w:r w:rsidR="00D8637E" w:rsidRPr="00E20185">
        <w:rPr>
          <w:rFonts w:ascii="Arial" w:hAnsi="Arial" w:cs="Arial"/>
          <w:sz w:val="24"/>
          <w:szCs w:val="24"/>
        </w:rPr>
        <w:t>- perhaps temporarily</w:t>
      </w:r>
      <w:r w:rsidR="00514F17" w:rsidRPr="00E20185">
        <w:rPr>
          <w:rFonts w:ascii="Arial" w:hAnsi="Arial" w:cs="Arial"/>
          <w:sz w:val="24"/>
          <w:szCs w:val="24"/>
        </w:rPr>
        <w:t xml:space="preserve"> </w:t>
      </w:r>
      <w:r w:rsidR="00D8637E" w:rsidRPr="00E20185">
        <w:rPr>
          <w:rFonts w:ascii="Arial" w:hAnsi="Arial" w:cs="Arial"/>
          <w:sz w:val="24"/>
          <w:szCs w:val="24"/>
        </w:rPr>
        <w:t>- to the mobility component currently in payment; what has been paid will not be clawed back as the award was valid until th</w:t>
      </w:r>
      <w:r w:rsidR="00EE299A" w:rsidRPr="00E20185">
        <w:rPr>
          <w:rFonts w:ascii="Arial" w:hAnsi="Arial" w:cs="Arial"/>
          <w:sz w:val="24"/>
          <w:szCs w:val="24"/>
        </w:rPr>
        <w:t>e issue of this</w:t>
      </w:r>
      <w:r w:rsidR="00D8637E" w:rsidRPr="00E20185">
        <w:rPr>
          <w:rFonts w:ascii="Arial" w:hAnsi="Arial" w:cs="Arial"/>
          <w:sz w:val="24"/>
          <w:szCs w:val="24"/>
        </w:rPr>
        <w:t xml:space="preserve"> decision.</w:t>
      </w:r>
    </w:p>
    <w:p w14:paraId="0EA0BA09" w14:textId="77777777" w:rsidR="00514F17" w:rsidRPr="00E20185" w:rsidRDefault="00514F17" w:rsidP="00AE2501">
      <w:pPr>
        <w:tabs>
          <w:tab w:val="left" w:pos="510"/>
          <w:tab w:val="left" w:pos="1077"/>
          <w:tab w:val="left" w:pos="1797"/>
        </w:tabs>
        <w:spacing w:after="0" w:line="240" w:lineRule="auto"/>
        <w:ind w:left="510" w:hanging="510"/>
        <w:contextualSpacing/>
        <w:jc w:val="both"/>
        <w:rPr>
          <w:rFonts w:ascii="Arial" w:hAnsi="Arial" w:cs="Arial"/>
          <w:sz w:val="24"/>
          <w:szCs w:val="24"/>
        </w:rPr>
      </w:pPr>
    </w:p>
    <w:p w14:paraId="470DB227" w14:textId="6D2BB67C" w:rsidR="00514F17" w:rsidRPr="00E20185" w:rsidRDefault="00B00C32" w:rsidP="00AE2501">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27</w:t>
      </w:r>
      <w:r w:rsidR="00AE2501">
        <w:rPr>
          <w:rFonts w:ascii="Arial" w:hAnsi="Arial" w:cs="Arial"/>
          <w:sz w:val="24"/>
          <w:szCs w:val="24"/>
        </w:rPr>
        <w:t>.</w:t>
      </w:r>
      <w:r w:rsidR="00AE2501">
        <w:rPr>
          <w:rFonts w:ascii="Arial" w:hAnsi="Arial" w:cs="Arial"/>
          <w:sz w:val="24"/>
          <w:szCs w:val="24"/>
        </w:rPr>
        <w:tab/>
      </w:r>
      <w:r w:rsidR="00EE299A" w:rsidRPr="00E20185">
        <w:rPr>
          <w:rFonts w:ascii="Arial" w:hAnsi="Arial" w:cs="Arial"/>
          <w:sz w:val="24"/>
          <w:szCs w:val="24"/>
        </w:rPr>
        <w:t>Any errors the previous tribunal made should not matter now, because th</w:t>
      </w:r>
      <w:r w:rsidR="00B80AA7" w:rsidRPr="00E20185">
        <w:rPr>
          <w:rFonts w:ascii="Arial" w:hAnsi="Arial" w:cs="Arial"/>
          <w:sz w:val="24"/>
          <w:szCs w:val="24"/>
        </w:rPr>
        <w:t>e ne</w:t>
      </w:r>
      <w:r w:rsidR="00EE299A" w:rsidRPr="00E20185">
        <w:rPr>
          <w:rFonts w:ascii="Arial" w:hAnsi="Arial" w:cs="Arial"/>
          <w:sz w:val="24"/>
          <w:szCs w:val="24"/>
        </w:rPr>
        <w:t>w</w:t>
      </w:r>
      <w:r w:rsidR="00B80AA7" w:rsidRPr="00E20185">
        <w:rPr>
          <w:rFonts w:ascii="Arial" w:hAnsi="Arial" w:cs="Arial"/>
          <w:sz w:val="24"/>
          <w:szCs w:val="24"/>
        </w:rPr>
        <w:t xml:space="preserve"> tribunal will look at the evidence afresh, and make its own findings on </w:t>
      </w:r>
      <w:r w:rsidR="00807678" w:rsidRPr="00E20185">
        <w:rPr>
          <w:rFonts w:ascii="Arial" w:hAnsi="Arial" w:cs="Arial"/>
          <w:sz w:val="24"/>
          <w:szCs w:val="24"/>
        </w:rPr>
        <w:t>the appellant’s</w:t>
      </w:r>
      <w:r w:rsidR="00EE299A" w:rsidRPr="00E20185">
        <w:rPr>
          <w:rFonts w:ascii="Arial" w:hAnsi="Arial" w:cs="Arial"/>
          <w:sz w:val="24"/>
          <w:szCs w:val="24"/>
        </w:rPr>
        <w:t xml:space="preserve"> </w:t>
      </w:r>
      <w:r w:rsidR="00B80AA7" w:rsidRPr="00E20185">
        <w:rPr>
          <w:rFonts w:ascii="Arial" w:hAnsi="Arial" w:cs="Arial"/>
          <w:sz w:val="24"/>
          <w:szCs w:val="24"/>
        </w:rPr>
        <w:t xml:space="preserve">likely difficulties and capability in relation to the </w:t>
      </w:r>
      <w:r w:rsidR="00EE299A" w:rsidRPr="00E20185">
        <w:rPr>
          <w:rFonts w:ascii="Arial" w:hAnsi="Arial" w:cs="Arial"/>
          <w:sz w:val="24"/>
          <w:szCs w:val="24"/>
        </w:rPr>
        <w:t xml:space="preserve">activities </w:t>
      </w:r>
      <w:r w:rsidR="00807678" w:rsidRPr="00E20185">
        <w:rPr>
          <w:rFonts w:ascii="Arial" w:hAnsi="Arial" w:cs="Arial"/>
          <w:sz w:val="24"/>
          <w:szCs w:val="24"/>
        </w:rPr>
        <w:t>under</w:t>
      </w:r>
      <w:r w:rsidR="00EE299A" w:rsidRPr="00E20185">
        <w:rPr>
          <w:rFonts w:ascii="Arial" w:hAnsi="Arial" w:cs="Arial"/>
          <w:sz w:val="24"/>
          <w:szCs w:val="24"/>
        </w:rPr>
        <w:t xml:space="preserve"> consider</w:t>
      </w:r>
      <w:r w:rsidR="00807678" w:rsidRPr="00E20185">
        <w:rPr>
          <w:rFonts w:ascii="Arial" w:hAnsi="Arial" w:cs="Arial"/>
          <w:sz w:val="24"/>
          <w:szCs w:val="24"/>
        </w:rPr>
        <w:t>ation</w:t>
      </w:r>
      <w:r w:rsidR="00B80AA7" w:rsidRPr="00E20185">
        <w:rPr>
          <w:rFonts w:ascii="Arial" w:hAnsi="Arial" w:cs="Arial"/>
          <w:sz w:val="24"/>
          <w:szCs w:val="24"/>
        </w:rPr>
        <w:t>.  Those findings will be based upon its analysis of what it reads and hears.</w:t>
      </w:r>
    </w:p>
    <w:p w14:paraId="7378558F" w14:textId="77777777" w:rsidR="00514F17" w:rsidRPr="00E20185" w:rsidRDefault="00514F17" w:rsidP="00AE2501">
      <w:pPr>
        <w:pStyle w:val="ListParagraph"/>
        <w:tabs>
          <w:tab w:val="left" w:pos="510"/>
          <w:tab w:val="left" w:pos="1077"/>
          <w:tab w:val="left" w:pos="1797"/>
        </w:tabs>
        <w:spacing w:after="0" w:line="240" w:lineRule="auto"/>
        <w:ind w:left="510" w:hanging="510"/>
        <w:rPr>
          <w:rFonts w:ascii="Arial" w:hAnsi="Arial" w:cs="Arial"/>
          <w:sz w:val="24"/>
          <w:szCs w:val="24"/>
        </w:rPr>
      </w:pPr>
    </w:p>
    <w:p w14:paraId="6A775585" w14:textId="4E6D7B9A" w:rsidR="00514F17" w:rsidRPr="00E20185" w:rsidRDefault="00B00C32" w:rsidP="00AE2501">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28</w:t>
      </w:r>
      <w:r w:rsidR="00AE2501">
        <w:rPr>
          <w:rFonts w:ascii="Arial" w:hAnsi="Arial" w:cs="Arial"/>
          <w:sz w:val="24"/>
          <w:szCs w:val="24"/>
        </w:rPr>
        <w:t>.</w:t>
      </w:r>
      <w:r w:rsidR="00AE2501">
        <w:rPr>
          <w:rFonts w:ascii="Arial" w:hAnsi="Arial" w:cs="Arial"/>
          <w:sz w:val="24"/>
          <w:szCs w:val="24"/>
        </w:rPr>
        <w:tab/>
      </w:r>
      <w:r w:rsidR="00B80AA7" w:rsidRPr="00E20185">
        <w:rPr>
          <w:rFonts w:ascii="Arial" w:hAnsi="Arial" w:cs="Arial"/>
          <w:sz w:val="24"/>
          <w:szCs w:val="24"/>
        </w:rPr>
        <w:t xml:space="preserve">As always, I </w:t>
      </w:r>
      <w:r w:rsidR="00EE299A" w:rsidRPr="00E20185">
        <w:rPr>
          <w:rFonts w:ascii="Arial" w:hAnsi="Arial" w:cs="Arial"/>
          <w:sz w:val="24"/>
          <w:szCs w:val="24"/>
        </w:rPr>
        <w:t>stress</w:t>
      </w:r>
      <w:r w:rsidR="00B80AA7" w:rsidRPr="00E20185">
        <w:rPr>
          <w:rFonts w:ascii="Arial" w:hAnsi="Arial" w:cs="Arial"/>
          <w:sz w:val="24"/>
          <w:szCs w:val="24"/>
        </w:rPr>
        <w:t xml:space="preserve"> that success before me on a point of law is no</w:t>
      </w:r>
      <w:r w:rsidR="00EE299A" w:rsidRPr="00E20185">
        <w:rPr>
          <w:rFonts w:ascii="Arial" w:hAnsi="Arial" w:cs="Arial"/>
          <w:sz w:val="24"/>
          <w:szCs w:val="24"/>
        </w:rPr>
        <w:t>t an</w:t>
      </w:r>
      <w:r w:rsidR="00B80AA7" w:rsidRPr="00E20185">
        <w:rPr>
          <w:rFonts w:ascii="Arial" w:hAnsi="Arial" w:cs="Arial"/>
          <w:sz w:val="24"/>
          <w:szCs w:val="24"/>
        </w:rPr>
        <w:t xml:space="preserve"> indication of what the result will be at the fresh tribunal, which is examining the facts.</w:t>
      </w:r>
    </w:p>
    <w:p w14:paraId="7F18B1D8" w14:textId="2FDAA8FC" w:rsidR="00514F17" w:rsidRPr="00E20185" w:rsidRDefault="00AE2501" w:rsidP="00E20185">
      <w:pPr>
        <w:pStyle w:val="ListParagraph"/>
        <w:spacing w:after="0" w:line="240" w:lineRule="auto"/>
        <w:ind w:left="0"/>
        <w:rPr>
          <w:rFonts w:ascii="Arial" w:hAnsi="Arial" w:cs="Arial"/>
          <w:sz w:val="24"/>
          <w:szCs w:val="24"/>
        </w:rPr>
      </w:pPr>
      <w:r w:rsidRPr="00E20185">
        <w:rPr>
          <w:rFonts w:ascii="Arial" w:hAnsi="Arial" w:cs="Arial"/>
          <w:noProof/>
          <w:color w:val="000000"/>
          <w:sz w:val="24"/>
          <w:szCs w:val="24"/>
        </w:rPr>
        <w:drawing>
          <wp:anchor distT="0" distB="0" distL="114300" distR="114300" simplePos="0" relativeHeight="251658240" behindDoc="0" locked="0" layoutInCell="1" allowOverlap="1" wp14:anchorId="268460E3" wp14:editId="0C22F43B">
            <wp:simplePos x="0" y="0"/>
            <wp:positionH relativeFrom="column">
              <wp:posOffset>344805</wp:posOffset>
            </wp:positionH>
            <wp:positionV relativeFrom="paragraph">
              <wp:posOffset>110490</wp:posOffset>
            </wp:positionV>
            <wp:extent cx="2501900" cy="695325"/>
            <wp:effectExtent l="0" t="0" r="0" b="9525"/>
            <wp:wrapThrough wrapText="bothSides">
              <wp:wrapPolygon edited="0">
                <wp:start x="0" y="0"/>
                <wp:lineTo x="0" y="21304"/>
                <wp:lineTo x="21381" y="21304"/>
                <wp:lineTo x="21381"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8466"/>
                    <a:stretch/>
                  </pic:blipFill>
                  <pic:spPr bwMode="auto">
                    <a:xfrm>
                      <a:off x="0" y="0"/>
                      <a:ext cx="250190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9C9E0A" w14:textId="711A19D2" w:rsidR="00AE2501" w:rsidRDefault="00AE2501" w:rsidP="00E20185">
      <w:pPr>
        <w:tabs>
          <w:tab w:val="left" w:pos="567"/>
        </w:tabs>
        <w:spacing w:after="0" w:line="240" w:lineRule="auto"/>
        <w:contextualSpacing/>
        <w:jc w:val="both"/>
        <w:rPr>
          <w:rFonts w:ascii="Arial" w:hAnsi="Arial" w:cs="Arial"/>
          <w:sz w:val="24"/>
          <w:szCs w:val="24"/>
        </w:rPr>
      </w:pPr>
    </w:p>
    <w:p w14:paraId="72006A66" w14:textId="0363EB58" w:rsidR="00AE2501" w:rsidRDefault="00AE2501" w:rsidP="00E20185">
      <w:pPr>
        <w:tabs>
          <w:tab w:val="left" w:pos="567"/>
        </w:tabs>
        <w:spacing w:after="0" w:line="240" w:lineRule="auto"/>
        <w:contextualSpacing/>
        <w:jc w:val="both"/>
        <w:rPr>
          <w:rFonts w:ascii="Arial" w:hAnsi="Arial" w:cs="Arial"/>
          <w:sz w:val="24"/>
          <w:szCs w:val="24"/>
        </w:rPr>
      </w:pPr>
    </w:p>
    <w:p w14:paraId="0978A663" w14:textId="77777777" w:rsidR="00AE2501" w:rsidRDefault="00AE2501" w:rsidP="00E20185">
      <w:pPr>
        <w:tabs>
          <w:tab w:val="left" w:pos="567"/>
        </w:tabs>
        <w:spacing w:after="0" w:line="240" w:lineRule="auto"/>
        <w:contextualSpacing/>
        <w:jc w:val="both"/>
        <w:rPr>
          <w:rFonts w:ascii="Arial" w:hAnsi="Arial" w:cs="Arial"/>
          <w:sz w:val="24"/>
          <w:szCs w:val="24"/>
        </w:rPr>
      </w:pPr>
    </w:p>
    <w:p w14:paraId="716BA633" w14:textId="3A176DC3" w:rsidR="00B80AA7" w:rsidRPr="00E20185" w:rsidRDefault="00B80AA7" w:rsidP="00E20185">
      <w:pPr>
        <w:tabs>
          <w:tab w:val="left" w:pos="567"/>
        </w:tabs>
        <w:spacing w:after="0" w:line="240" w:lineRule="auto"/>
        <w:contextualSpacing/>
        <w:jc w:val="both"/>
        <w:rPr>
          <w:rFonts w:ascii="Arial" w:hAnsi="Arial" w:cs="Arial"/>
          <w:sz w:val="24"/>
          <w:szCs w:val="24"/>
        </w:rPr>
      </w:pPr>
    </w:p>
    <w:p w14:paraId="6061E0B8" w14:textId="6C76EEDC" w:rsidR="00514F17" w:rsidRPr="00AE2501" w:rsidRDefault="00514F17" w:rsidP="00E20185">
      <w:pPr>
        <w:spacing w:after="0" w:line="240" w:lineRule="auto"/>
        <w:rPr>
          <w:rFonts w:ascii="Arial" w:hAnsi="Arial" w:cs="Arial"/>
          <w:bCs/>
          <w:sz w:val="24"/>
          <w:szCs w:val="24"/>
        </w:rPr>
      </w:pPr>
      <w:r w:rsidRPr="00E20185">
        <w:rPr>
          <w:rFonts w:ascii="Arial" w:hAnsi="Arial" w:cs="Arial"/>
          <w:sz w:val="24"/>
          <w:szCs w:val="24"/>
        </w:rPr>
        <w:t>(Signed):</w:t>
      </w:r>
      <w:r w:rsidR="00AE2501">
        <w:rPr>
          <w:rFonts w:ascii="Arial" w:hAnsi="Arial" w:cs="Arial"/>
          <w:sz w:val="24"/>
          <w:szCs w:val="24"/>
        </w:rPr>
        <w:t xml:space="preserve">  </w:t>
      </w:r>
      <w:r w:rsidRPr="00AE2501">
        <w:rPr>
          <w:rFonts w:ascii="Arial" w:hAnsi="Arial" w:cs="Arial"/>
          <w:bCs/>
          <w:sz w:val="24"/>
          <w:szCs w:val="24"/>
        </w:rPr>
        <w:t>P</w:t>
      </w:r>
      <w:r w:rsidR="00AE2501" w:rsidRPr="00AE2501">
        <w:rPr>
          <w:rFonts w:ascii="Arial" w:hAnsi="Arial" w:cs="Arial"/>
          <w:bCs/>
          <w:sz w:val="24"/>
          <w:szCs w:val="24"/>
        </w:rPr>
        <w:t xml:space="preserve"> G</w:t>
      </w:r>
      <w:r w:rsidRPr="00AE2501">
        <w:rPr>
          <w:rFonts w:ascii="Arial" w:hAnsi="Arial" w:cs="Arial"/>
          <w:bCs/>
          <w:sz w:val="24"/>
          <w:szCs w:val="24"/>
        </w:rPr>
        <w:t>RAY</w:t>
      </w:r>
    </w:p>
    <w:p w14:paraId="53DA13C2" w14:textId="77777777" w:rsidR="00AE2501" w:rsidRPr="00AE2501" w:rsidRDefault="00AE2501" w:rsidP="00E20185">
      <w:pPr>
        <w:spacing w:after="0" w:line="240" w:lineRule="auto"/>
        <w:rPr>
          <w:rFonts w:ascii="Arial" w:hAnsi="Arial" w:cs="Arial"/>
          <w:bCs/>
          <w:sz w:val="24"/>
          <w:szCs w:val="24"/>
        </w:rPr>
      </w:pPr>
    </w:p>
    <w:p w14:paraId="25F6CAD0" w14:textId="68DFED47" w:rsidR="00514F17" w:rsidRPr="00AE2501" w:rsidRDefault="00514F17" w:rsidP="00E20185">
      <w:pPr>
        <w:spacing w:after="0" w:line="240" w:lineRule="auto"/>
        <w:rPr>
          <w:rFonts w:ascii="Arial" w:hAnsi="Arial" w:cs="Arial"/>
          <w:bCs/>
          <w:sz w:val="24"/>
          <w:szCs w:val="24"/>
        </w:rPr>
      </w:pPr>
      <w:r w:rsidRPr="00AE2501">
        <w:rPr>
          <w:rFonts w:ascii="Arial" w:hAnsi="Arial" w:cs="Arial"/>
          <w:bCs/>
          <w:sz w:val="24"/>
          <w:szCs w:val="24"/>
        </w:rPr>
        <w:t>DEPUTY COMMISSIONER (NI)</w:t>
      </w:r>
    </w:p>
    <w:p w14:paraId="07CF4A7C" w14:textId="77777777" w:rsidR="00514F17" w:rsidRPr="00E20185" w:rsidRDefault="00514F17" w:rsidP="00E20185">
      <w:pPr>
        <w:spacing w:after="0" w:line="240" w:lineRule="auto"/>
        <w:rPr>
          <w:rFonts w:ascii="Arial" w:hAnsi="Arial" w:cs="Arial"/>
          <w:sz w:val="24"/>
          <w:szCs w:val="24"/>
        </w:rPr>
      </w:pPr>
    </w:p>
    <w:p w14:paraId="36691E03" w14:textId="77777777" w:rsidR="00514F17" w:rsidRDefault="00514F17" w:rsidP="00E20185">
      <w:pPr>
        <w:spacing w:after="0" w:line="240" w:lineRule="auto"/>
        <w:rPr>
          <w:rFonts w:ascii="Arial" w:hAnsi="Arial" w:cs="Arial"/>
          <w:sz w:val="24"/>
          <w:szCs w:val="24"/>
        </w:rPr>
      </w:pPr>
    </w:p>
    <w:p w14:paraId="0A3417F7" w14:textId="77777777" w:rsidR="00AE2501" w:rsidRPr="00E20185" w:rsidRDefault="00AE2501" w:rsidP="00E20185">
      <w:pPr>
        <w:spacing w:after="0" w:line="240" w:lineRule="auto"/>
        <w:rPr>
          <w:rFonts w:ascii="Arial" w:hAnsi="Arial" w:cs="Arial"/>
          <w:sz w:val="24"/>
          <w:szCs w:val="24"/>
        </w:rPr>
      </w:pPr>
    </w:p>
    <w:p w14:paraId="79B11DF2" w14:textId="657D2ABD" w:rsidR="002D17CB" w:rsidRPr="00E20185" w:rsidRDefault="00D879D1" w:rsidP="00E20185">
      <w:pPr>
        <w:spacing w:after="0" w:line="240" w:lineRule="auto"/>
        <w:rPr>
          <w:rFonts w:ascii="Arial" w:hAnsi="Arial" w:cs="Arial"/>
          <w:sz w:val="24"/>
          <w:szCs w:val="24"/>
        </w:rPr>
      </w:pPr>
      <w:r w:rsidRPr="00E20185">
        <w:rPr>
          <w:rFonts w:ascii="Arial" w:hAnsi="Arial" w:cs="Arial"/>
          <w:sz w:val="24"/>
          <w:szCs w:val="24"/>
        </w:rPr>
        <w:t>26 September 2024</w:t>
      </w:r>
    </w:p>
    <w:sectPr w:rsidR="002D17CB" w:rsidRPr="00E20185" w:rsidSect="00E20185">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D21C5" w14:textId="77777777" w:rsidR="00A845B4" w:rsidRDefault="00A845B4">
      <w:pPr>
        <w:spacing w:after="0" w:line="240" w:lineRule="auto"/>
      </w:pPr>
      <w:r>
        <w:separator/>
      </w:r>
    </w:p>
  </w:endnote>
  <w:endnote w:type="continuationSeparator" w:id="0">
    <w:p w14:paraId="5C38B029" w14:textId="77777777" w:rsidR="00A845B4" w:rsidRDefault="00A84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CA1DE" w14:textId="4BB14C29" w:rsidR="004B7E19" w:rsidRPr="00A306AA" w:rsidRDefault="00B24059" w:rsidP="00A306AA">
    <w:pPr>
      <w:pStyle w:val="Footer"/>
      <w:jc w:val="center"/>
      <w:rPr>
        <w:rFonts w:ascii="Arial" w:hAnsi="Arial" w:cs="Arial"/>
        <w:sz w:val="24"/>
        <w:szCs w:val="24"/>
      </w:rPr>
    </w:pPr>
    <w:r w:rsidRPr="00A306AA">
      <w:rPr>
        <w:rFonts w:ascii="Arial" w:hAnsi="Arial" w:cs="Arial"/>
        <w:sz w:val="24"/>
        <w:szCs w:val="24"/>
      </w:rPr>
      <w:fldChar w:fldCharType="begin"/>
    </w:r>
    <w:r w:rsidRPr="00A306AA">
      <w:rPr>
        <w:rFonts w:ascii="Arial" w:hAnsi="Arial" w:cs="Arial"/>
        <w:sz w:val="24"/>
        <w:szCs w:val="24"/>
      </w:rPr>
      <w:instrText xml:space="preserve"> PAGE   \* MERGEFORMAT </w:instrText>
    </w:r>
    <w:r w:rsidRPr="00A306AA">
      <w:rPr>
        <w:rFonts w:ascii="Arial" w:hAnsi="Arial" w:cs="Arial"/>
        <w:sz w:val="24"/>
        <w:szCs w:val="24"/>
      </w:rPr>
      <w:fldChar w:fldCharType="separate"/>
    </w:r>
    <w:r w:rsidRPr="00A306AA">
      <w:rPr>
        <w:rFonts w:ascii="Arial" w:hAnsi="Arial" w:cs="Arial"/>
        <w:noProof/>
        <w:sz w:val="24"/>
        <w:szCs w:val="24"/>
      </w:rPr>
      <w:t>2</w:t>
    </w:r>
    <w:r w:rsidRPr="00A306A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C5B14" w14:textId="77777777" w:rsidR="00A845B4" w:rsidRDefault="00A845B4">
      <w:pPr>
        <w:spacing w:after="0" w:line="240" w:lineRule="auto"/>
      </w:pPr>
      <w:r>
        <w:separator/>
      </w:r>
    </w:p>
  </w:footnote>
  <w:footnote w:type="continuationSeparator" w:id="0">
    <w:p w14:paraId="23A5764B" w14:textId="77777777" w:rsidR="00A845B4" w:rsidRDefault="00A84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B2999"/>
    <w:multiLevelType w:val="hybridMultilevel"/>
    <w:tmpl w:val="15B0853C"/>
    <w:lvl w:ilvl="0" w:tplc="0F2A28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195ECC"/>
    <w:multiLevelType w:val="hybridMultilevel"/>
    <w:tmpl w:val="562A0B6E"/>
    <w:lvl w:ilvl="0" w:tplc="0DA6E1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96E4913"/>
    <w:multiLevelType w:val="hybridMultilevel"/>
    <w:tmpl w:val="3B1E5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C2BB0"/>
    <w:multiLevelType w:val="hybridMultilevel"/>
    <w:tmpl w:val="0C687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8C5B01"/>
    <w:multiLevelType w:val="hybridMultilevel"/>
    <w:tmpl w:val="180CD0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9D56EAC"/>
    <w:multiLevelType w:val="hybridMultilevel"/>
    <w:tmpl w:val="8CA40F88"/>
    <w:lvl w:ilvl="0" w:tplc="C5D03B7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0EE23AB"/>
    <w:multiLevelType w:val="hybridMultilevel"/>
    <w:tmpl w:val="3B1E5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3871153">
    <w:abstractNumId w:val="3"/>
  </w:num>
  <w:num w:numId="2" w16cid:durableId="1691829846">
    <w:abstractNumId w:val="1"/>
  </w:num>
  <w:num w:numId="3" w16cid:durableId="460273271">
    <w:abstractNumId w:val="4"/>
  </w:num>
  <w:num w:numId="4" w16cid:durableId="582446777">
    <w:abstractNumId w:val="5"/>
  </w:num>
  <w:num w:numId="5" w16cid:durableId="2026251602">
    <w:abstractNumId w:val="0"/>
  </w:num>
  <w:num w:numId="6" w16cid:durableId="2033145249">
    <w:abstractNumId w:val="2"/>
  </w:num>
  <w:num w:numId="7" w16cid:durableId="1234970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A7"/>
    <w:rsid w:val="00084AF9"/>
    <w:rsid w:val="000D577F"/>
    <w:rsid w:val="000E698C"/>
    <w:rsid w:val="001329AD"/>
    <w:rsid w:val="00142639"/>
    <w:rsid w:val="0016654A"/>
    <w:rsid w:val="00173716"/>
    <w:rsid w:val="001749CE"/>
    <w:rsid w:val="001E1EA6"/>
    <w:rsid w:val="001E66A1"/>
    <w:rsid w:val="00201384"/>
    <w:rsid w:val="002165D0"/>
    <w:rsid w:val="002626BA"/>
    <w:rsid w:val="0029303A"/>
    <w:rsid w:val="002A0D90"/>
    <w:rsid w:val="002A4187"/>
    <w:rsid w:val="002B087B"/>
    <w:rsid w:val="002D17CB"/>
    <w:rsid w:val="00340EF4"/>
    <w:rsid w:val="003D2392"/>
    <w:rsid w:val="004748B2"/>
    <w:rsid w:val="004A0936"/>
    <w:rsid w:val="004B7E19"/>
    <w:rsid w:val="004C30B1"/>
    <w:rsid w:val="004D07DD"/>
    <w:rsid w:val="00503518"/>
    <w:rsid w:val="00514F17"/>
    <w:rsid w:val="005264C6"/>
    <w:rsid w:val="005B30CB"/>
    <w:rsid w:val="00655F90"/>
    <w:rsid w:val="006B386D"/>
    <w:rsid w:val="006D70B8"/>
    <w:rsid w:val="006F61FF"/>
    <w:rsid w:val="00750638"/>
    <w:rsid w:val="007B05BA"/>
    <w:rsid w:val="007E2E11"/>
    <w:rsid w:val="007E55BD"/>
    <w:rsid w:val="00807678"/>
    <w:rsid w:val="00875A48"/>
    <w:rsid w:val="00976FD8"/>
    <w:rsid w:val="009A3445"/>
    <w:rsid w:val="009D0F21"/>
    <w:rsid w:val="009F54B4"/>
    <w:rsid w:val="00A306AA"/>
    <w:rsid w:val="00A429D7"/>
    <w:rsid w:val="00A5247C"/>
    <w:rsid w:val="00A800E0"/>
    <w:rsid w:val="00A845B4"/>
    <w:rsid w:val="00A93F68"/>
    <w:rsid w:val="00AB0777"/>
    <w:rsid w:val="00AB560F"/>
    <w:rsid w:val="00AE2501"/>
    <w:rsid w:val="00AE302E"/>
    <w:rsid w:val="00AE3C74"/>
    <w:rsid w:val="00B00C32"/>
    <w:rsid w:val="00B1766E"/>
    <w:rsid w:val="00B24059"/>
    <w:rsid w:val="00B55D3D"/>
    <w:rsid w:val="00B75369"/>
    <w:rsid w:val="00B80AA7"/>
    <w:rsid w:val="00BB38EA"/>
    <w:rsid w:val="00C25420"/>
    <w:rsid w:val="00C378CF"/>
    <w:rsid w:val="00CB6693"/>
    <w:rsid w:val="00D7427E"/>
    <w:rsid w:val="00D8637E"/>
    <w:rsid w:val="00D879D1"/>
    <w:rsid w:val="00DA0823"/>
    <w:rsid w:val="00DC0D97"/>
    <w:rsid w:val="00DF2CE6"/>
    <w:rsid w:val="00E10278"/>
    <w:rsid w:val="00E10301"/>
    <w:rsid w:val="00E20185"/>
    <w:rsid w:val="00E76144"/>
    <w:rsid w:val="00E86922"/>
    <w:rsid w:val="00E86E17"/>
    <w:rsid w:val="00E9001F"/>
    <w:rsid w:val="00EE299A"/>
    <w:rsid w:val="00F055A4"/>
    <w:rsid w:val="00F05938"/>
    <w:rsid w:val="00F15C7B"/>
    <w:rsid w:val="00F16CF4"/>
    <w:rsid w:val="00F5051D"/>
    <w:rsid w:val="00F722EF"/>
    <w:rsid w:val="00F83D52"/>
    <w:rsid w:val="00FC5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D5F"/>
  <w15:docId w15:val="{544D7D1D-9D19-478B-A5B9-98B10CDE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0AA7"/>
    <w:pPr>
      <w:tabs>
        <w:tab w:val="center" w:pos="4513"/>
        <w:tab w:val="right" w:pos="9026"/>
      </w:tabs>
      <w:spacing w:after="0" w:line="240" w:lineRule="auto"/>
    </w:pPr>
  </w:style>
  <w:style w:type="character" w:customStyle="1" w:styleId="FooterChar">
    <w:name w:val="Footer Char"/>
    <w:link w:val="Footer"/>
    <w:uiPriority w:val="99"/>
    <w:rsid w:val="00B80AA7"/>
    <w:rPr>
      <w:rFonts w:ascii="Calibri" w:eastAsia="Calibri" w:hAnsi="Calibri" w:cs="Times New Roman"/>
    </w:rPr>
  </w:style>
  <w:style w:type="paragraph" w:styleId="ListParagraph">
    <w:name w:val="List Paragraph"/>
    <w:basedOn w:val="Normal"/>
    <w:uiPriority w:val="34"/>
    <w:qFormat/>
    <w:rsid w:val="00D8637E"/>
    <w:pPr>
      <w:ind w:left="720"/>
      <w:contextualSpacing/>
    </w:pPr>
  </w:style>
  <w:style w:type="paragraph" w:styleId="Header">
    <w:name w:val="header"/>
    <w:basedOn w:val="Normal"/>
    <w:link w:val="HeaderChar"/>
    <w:uiPriority w:val="99"/>
    <w:unhideWhenUsed/>
    <w:rsid w:val="00A30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6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7D02E-F312-4E91-93E6-AFAA7BE42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C8/24-25(PIP)</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C8/24-25(PIP)</dc:title>
  <dc:subject/>
  <dc:creator>Bowman, Marie</dc:creator>
  <cp:keywords/>
  <dc:description/>
  <cp:lastModifiedBy>Patterson, Laura</cp:lastModifiedBy>
  <cp:revision>2</cp:revision>
  <dcterms:created xsi:type="dcterms:W3CDTF">2024-10-04T08:58:00Z</dcterms:created>
  <dcterms:modified xsi:type="dcterms:W3CDTF">2024-10-04T08:58:00Z</dcterms:modified>
</cp:coreProperties>
</file>