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212D7D" w14:textId="77777777" w:rsidR="00DC0BB5" w:rsidRPr="00085953" w:rsidRDefault="00DC0BB5" w:rsidP="00D54373">
      <w:pPr>
        <w:spacing w:after="0" w:line="240" w:lineRule="auto"/>
        <w:jc w:val="right"/>
        <w:rPr>
          <w:rFonts w:ascii="Arial" w:eastAsia="Aptos" w:hAnsi="Arial" w:cs="Arial"/>
          <w:sz w:val="24"/>
          <w:szCs w:val="24"/>
        </w:rPr>
      </w:pPr>
      <w:r w:rsidRPr="00085953">
        <w:rPr>
          <w:rFonts w:ascii="Arial" w:eastAsia="Aptos" w:hAnsi="Arial" w:cs="Arial"/>
          <w:sz w:val="24"/>
          <w:szCs w:val="24"/>
        </w:rPr>
        <w:tab/>
        <w:t>AI -v- Department for Communities (UC) [2025] NICom</w:t>
      </w:r>
      <w:r w:rsidR="00EA738C" w:rsidRPr="00085953">
        <w:rPr>
          <w:rFonts w:ascii="Arial" w:eastAsia="Aptos" w:hAnsi="Arial" w:cs="Arial"/>
          <w:sz w:val="24"/>
          <w:szCs w:val="24"/>
        </w:rPr>
        <w:t>4</w:t>
      </w:r>
      <w:r w:rsidRPr="00085953">
        <w:rPr>
          <w:rFonts w:ascii="Arial" w:eastAsia="Aptos" w:hAnsi="Arial" w:cs="Arial"/>
          <w:sz w:val="24"/>
          <w:szCs w:val="24"/>
        </w:rPr>
        <w:t xml:space="preserve"> </w:t>
      </w:r>
    </w:p>
    <w:p w14:paraId="6EDAD7EB" w14:textId="77777777" w:rsidR="00DC0BB5" w:rsidRPr="00085953" w:rsidRDefault="00DC0BB5" w:rsidP="00085953">
      <w:pPr>
        <w:spacing w:after="0" w:line="240" w:lineRule="auto"/>
        <w:rPr>
          <w:rFonts w:ascii="Arial" w:eastAsia="Aptos" w:hAnsi="Arial" w:cs="Arial"/>
          <w:sz w:val="24"/>
          <w:szCs w:val="24"/>
        </w:rPr>
      </w:pPr>
    </w:p>
    <w:p w14:paraId="256799B5" w14:textId="14161781" w:rsidR="00DC0BB5" w:rsidRPr="00D54373" w:rsidRDefault="00DC0BB5" w:rsidP="00D54373">
      <w:pPr>
        <w:spacing w:after="0" w:line="240" w:lineRule="auto"/>
        <w:jc w:val="right"/>
        <w:rPr>
          <w:rFonts w:ascii="Arial" w:hAnsi="Arial" w:cs="Arial"/>
          <w:sz w:val="24"/>
          <w:szCs w:val="24"/>
        </w:rPr>
      </w:pPr>
      <w:r w:rsidRPr="00D54373">
        <w:rPr>
          <w:rFonts w:ascii="Arial" w:hAnsi="Arial" w:cs="Arial"/>
          <w:sz w:val="24"/>
          <w:szCs w:val="24"/>
        </w:rPr>
        <w:t xml:space="preserve">Decision No: </w:t>
      </w:r>
      <w:r w:rsidR="00D54373" w:rsidRPr="00D54373">
        <w:rPr>
          <w:rFonts w:ascii="Arial" w:hAnsi="Arial" w:cs="Arial"/>
          <w:sz w:val="24"/>
          <w:szCs w:val="24"/>
        </w:rPr>
        <w:t xml:space="preserve"> </w:t>
      </w:r>
      <w:r w:rsidRPr="00085953">
        <w:rPr>
          <w:rFonts w:ascii="Arial" w:hAnsi="Arial" w:cs="Arial"/>
          <w:sz w:val="24"/>
          <w:szCs w:val="24"/>
        </w:rPr>
        <w:t>C</w:t>
      </w:r>
      <w:r w:rsidR="00EA738C" w:rsidRPr="00085953">
        <w:rPr>
          <w:rFonts w:ascii="Arial" w:hAnsi="Arial" w:cs="Arial"/>
          <w:sz w:val="24"/>
          <w:szCs w:val="24"/>
        </w:rPr>
        <w:t>8</w:t>
      </w:r>
      <w:r w:rsidRPr="00085953">
        <w:rPr>
          <w:rFonts w:ascii="Arial" w:hAnsi="Arial" w:cs="Arial"/>
          <w:sz w:val="24"/>
          <w:szCs w:val="24"/>
        </w:rPr>
        <w:t>/24-25(UC)</w:t>
      </w:r>
    </w:p>
    <w:p w14:paraId="61E09E77" w14:textId="77777777" w:rsidR="00DC0BB5" w:rsidRPr="00D54373" w:rsidRDefault="00DC0BB5" w:rsidP="00085953">
      <w:pPr>
        <w:spacing w:after="0" w:line="240" w:lineRule="auto"/>
        <w:rPr>
          <w:rFonts w:ascii="Arial" w:eastAsia="Times New Roman" w:hAnsi="Arial" w:cs="Arial"/>
          <w:spacing w:val="-3"/>
          <w:kern w:val="0"/>
          <w:sz w:val="24"/>
          <w:szCs w:val="24"/>
        </w:rPr>
      </w:pPr>
    </w:p>
    <w:p w14:paraId="012C2D93" w14:textId="77777777" w:rsidR="00DC0BB5" w:rsidRPr="00D54373" w:rsidRDefault="00DC0BB5" w:rsidP="00085953">
      <w:pPr>
        <w:spacing w:after="0" w:line="240" w:lineRule="auto"/>
        <w:rPr>
          <w:rFonts w:ascii="Arial" w:eastAsia="Times New Roman" w:hAnsi="Arial" w:cs="Arial"/>
          <w:spacing w:val="-3"/>
          <w:kern w:val="0"/>
          <w:sz w:val="24"/>
          <w:szCs w:val="24"/>
        </w:rPr>
      </w:pPr>
    </w:p>
    <w:p w14:paraId="16DD1AED" w14:textId="77777777" w:rsidR="00DC0BB5" w:rsidRPr="00D54373" w:rsidRDefault="00DC0BB5" w:rsidP="00085953">
      <w:pPr>
        <w:spacing w:after="0" w:line="240" w:lineRule="auto"/>
        <w:rPr>
          <w:rFonts w:ascii="Arial" w:eastAsia="Times New Roman" w:hAnsi="Arial" w:cs="Arial"/>
          <w:spacing w:val="-3"/>
          <w:kern w:val="0"/>
          <w:sz w:val="24"/>
          <w:szCs w:val="24"/>
        </w:rPr>
      </w:pPr>
    </w:p>
    <w:p w14:paraId="772B30A6" w14:textId="77777777" w:rsidR="00D54373" w:rsidRDefault="00D54373" w:rsidP="00085953">
      <w:pPr>
        <w:spacing w:after="0" w:line="240" w:lineRule="auto"/>
        <w:rPr>
          <w:rFonts w:ascii="Arial" w:hAnsi="Arial" w:cs="Arial"/>
          <w:b/>
          <w:bCs/>
          <w:kern w:val="0"/>
          <w:sz w:val="24"/>
          <w:szCs w:val="24"/>
        </w:rPr>
      </w:pPr>
    </w:p>
    <w:p w14:paraId="3B5EA441" w14:textId="2E9076D2" w:rsidR="00DC0BB5" w:rsidRPr="00085953" w:rsidRDefault="00DC0BB5" w:rsidP="00D54373">
      <w:pPr>
        <w:spacing w:after="0" w:line="240" w:lineRule="auto"/>
        <w:jc w:val="center"/>
        <w:rPr>
          <w:rFonts w:ascii="Arial" w:hAnsi="Arial" w:cs="Arial"/>
          <w:b/>
          <w:bCs/>
          <w:kern w:val="0"/>
          <w:sz w:val="24"/>
          <w:szCs w:val="24"/>
        </w:rPr>
      </w:pPr>
      <w:r w:rsidRPr="00085953">
        <w:rPr>
          <w:rFonts w:ascii="Arial" w:hAnsi="Arial" w:cs="Arial"/>
          <w:b/>
          <w:bCs/>
          <w:kern w:val="0"/>
          <w:sz w:val="24"/>
          <w:szCs w:val="24"/>
        </w:rPr>
        <w:t>SOCIAL SECURITY ADMINISTRATION (NORTHERN IRELAND) ACT 1992</w:t>
      </w:r>
    </w:p>
    <w:p w14:paraId="5AD19918" w14:textId="77777777" w:rsidR="00D54373" w:rsidRDefault="00D54373" w:rsidP="00D54373">
      <w:pPr>
        <w:spacing w:after="0" w:line="240" w:lineRule="auto"/>
        <w:jc w:val="center"/>
        <w:rPr>
          <w:rFonts w:ascii="Arial" w:hAnsi="Arial" w:cs="Arial"/>
          <w:b/>
          <w:bCs/>
          <w:kern w:val="0"/>
          <w:sz w:val="24"/>
          <w:szCs w:val="24"/>
        </w:rPr>
      </w:pPr>
    </w:p>
    <w:p w14:paraId="38D032C2" w14:textId="4EF652C1" w:rsidR="00DC0BB5" w:rsidRPr="00085953" w:rsidRDefault="00DC0BB5" w:rsidP="00D54373">
      <w:pPr>
        <w:spacing w:after="0" w:line="240" w:lineRule="auto"/>
        <w:jc w:val="center"/>
        <w:rPr>
          <w:rFonts w:ascii="Arial" w:eastAsia="Aptos" w:hAnsi="Arial" w:cs="Arial"/>
          <w:b/>
          <w:bCs/>
          <w:kern w:val="0"/>
          <w:sz w:val="24"/>
          <w:szCs w:val="24"/>
        </w:rPr>
      </w:pPr>
      <w:r w:rsidRPr="00085953">
        <w:rPr>
          <w:rFonts w:ascii="Arial" w:hAnsi="Arial" w:cs="Arial"/>
          <w:b/>
          <w:bCs/>
          <w:kern w:val="0"/>
          <w:sz w:val="24"/>
          <w:szCs w:val="24"/>
        </w:rPr>
        <w:t>SOCIAL SECURITY (NORTHERN IRELAND) ORDER 1998</w:t>
      </w:r>
    </w:p>
    <w:p w14:paraId="2638163E" w14:textId="77777777" w:rsidR="00DC0BB5" w:rsidRDefault="00DC0BB5" w:rsidP="00D54373">
      <w:pPr>
        <w:spacing w:after="0" w:line="240" w:lineRule="auto"/>
        <w:jc w:val="center"/>
        <w:rPr>
          <w:rFonts w:ascii="Arial" w:hAnsi="Arial" w:cs="Arial"/>
          <w:kern w:val="0"/>
          <w:sz w:val="24"/>
          <w:szCs w:val="24"/>
        </w:rPr>
      </w:pPr>
    </w:p>
    <w:p w14:paraId="14402E1E" w14:textId="77777777" w:rsidR="00D54373" w:rsidRPr="00085953" w:rsidRDefault="00D54373" w:rsidP="00D54373">
      <w:pPr>
        <w:spacing w:after="0" w:line="240" w:lineRule="auto"/>
        <w:jc w:val="center"/>
        <w:rPr>
          <w:rFonts w:ascii="Arial" w:hAnsi="Arial" w:cs="Arial"/>
          <w:kern w:val="0"/>
          <w:sz w:val="24"/>
          <w:szCs w:val="24"/>
        </w:rPr>
      </w:pPr>
    </w:p>
    <w:p w14:paraId="50BA133A" w14:textId="77777777" w:rsidR="00DC0BB5" w:rsidRPr="00085953" w:rsidRDefault="00DC0BB5" w:rsidP="00D54373">
      <w:pPr>
        <w:spacing w:after="0" w:line="240" w:lineRule="auto"/>
        <w:jc w:val="center"/>
        <w:rPr>
          <w:rFonts w:ascii="Arial" w:hAnsi="Arial" w:cs="Arial"/>
          <w:b/>
          <w:bCs/>
          <w:kern w:val="0"/>
          <w:sz w:val="24"/>
          <w:szCs w:val="24"/>
          <w:u w:val="single"/>
        </w:rPr>
      </w:pPr>
      <w:r w:rsidRPr="00085953">
        <w:rPr>
          <w:rFonts w:ascii="Arial" w:hAnsi="Arial" w:cs="Arial"/>
          <w:b/>
          <w:bCs/>
          <w:kern w:val="0"/>
          <w:sz w:val="24"/>
          <w:szCs w:val="24"/>
          <w:u w:val="single"/>
        </w:rPr>
        <w:t>UNIVERSAL CREDIT</w:t>
      </w:r>
    </w:p>
    <w:p w14:paraId="0D807596" w14:textId="77777777" w:rsidR="00DC0BB5" w:rsidRDefault="00DC0BB5" w:rsidP="00D54373">
      <w:pPr>
        <w:spacing w:after="0" w:line="240" w:lineRule="auto"/>
        <w:jc w:val="center"/>
        <w:rPr>
          <w:rFonts w:ascii="Arial" w:hAnsi="Arial" w:cs="Arial"/>
          <w:b/>
          <w:bCs/>
          <w:kern w:val="0"/>
          <w:sz w:val="24"/>
          <w:szCs w:val="24"/>
          <w:u w:val="single"/>
        </w:rPr>
      </w:pPr>
    </w:p>
    <w:p w14:paraId="177CA3EC" w14:textId="77777777" w:rsidR="00D54373" w:rsidRPr="00085953" w:rsidRDefault="00D54373" w:rsidP="00D54373">
      <w:pPr>
        <w:spacing w:after="0" w:line="240" w:lineRule="auto"/>
        <w:jc w:val="center"/>
        <w:rPr>
          <w:rFonts w:ascii="Arial" w:hAnsi="Arial" w:cs="Arial"/>
          <w:b/>
          <w:bCs/>
          <w:kern w:val="0"/>
          <w:sz w:val="24"/>
          <w:szCs w:val="24"/>
          <w:u w:val="single"/>
        </w:rPr>
      </w:pPr>
    </w:p>
    <w:p w14:paraId="142BA2FB" w14:textId="77777777" w:rsidR="00DC0BB5" w:rsidRPr="00085953" w:rsidRDefault="00DC0BB5" w:rsidP="00D54373">
      <w:pPr>
        <w:spacing w:after="0" w:line="240" w:lineRule="auto"/>
        <w:jc w:val="center"/>
        <w:rPr>
          <w:rFonts w:ascii="Arial" w:hAnsi="Arial" w:cs="Arial"/>
          <w:spacing w:val="-3"/>
          <w:kern w:val="0"/>
          <w:sz w:val="24"/>
          <w:szCs w:val="24"/>
        </w:rPr>
      </w:pPr>
      <w:r w:rsidRPr="00085953">
        <w:rPr>
          <w:rFonts w:ascii="Arial" w:hAnsi="Arial" w:cs="Arial"/>
          <w:spacing w:val="-3"/>
          <w:kern w:val="0"/>
          <w:sz w:val="24"/>
          <w:szCs w:val="24"/>
        </w:rPr>
        <w:t>Application by the claimant for leave to appeal</w:t>
      </w:r>
    </w:p>
    <w:p w14:paraId="69184675" w14:textId="77777777" w:rsidR="00DC0BB5" w:rsidRPr="00085953" w:rsidRDefault="00DC0BB5" w:rsidP="00D54373">
      <w:pPr>
        <w:spacing w:after="0" w:line="240" w:lineRule="auto"/>
        <w:jc w:val="center"/>
        <w:rPr>
          <w:rFonts w:ascii="Arial" w:hAnsi="Arial" w:cs="Arial"/>
          <w:spacing w:val="-3"/>
          <w:kern w:val="0"/>
          <w:sz w:val="24"/>
          <w:szCs w:val="24"/>
        </w:rPr>
      </w:pPr>
      <w:r w:rsidRPr="00085953">
        <w:rPr>
          <w:rFonts w:ascii="Arial" w:hAnsi="Arial" w:cs="Arial"/>
          <w:spacing w:val="-3"/>
          <w:kern w:val="0"/>
          <w:sz w:val="24"/>
          <w:szCs w:val="24"/>
        </w:rPr>
        <w:t>and appeal to a Social Security Commissioner</w:t>
      </w:r>
    </w:p>
    <w:p w14:paraId="6353D716" w14:textId="77777777" w:rsidR="00DC0BB5" w:rsidRPr="00085953" w:rsidRDefault="00DC0BB5" w:rsidP="00D54373">
      <w:pPr>
        <w:spacing w:after="0" w:line="240" w:lineRule="auto"/>
        <w:jc w:val="center"/>
        <w:rPr>
          <w:rFonts w:ascii="Arial" w:hAnsi="Arial" w:cs="Arial"/>
          <w:spacing w:val="-3"/>
          <w:kern w:val="0"/>
          <w:sz w:val="24"/>
          <w:szCs w:val="24"/>
        </w:rPr>
      </w:pPr>
      <w:r w:rsidRPr="00085953">
        <w:rPr>
          <w:rFonts w:ascii="Arial" w:hAnsi="Arial" w:cs="Arial"/>
          <w:spacing w:val="-3"/>
          <w:kern w:val="0"/>
          <w:sz w:val="24"/>
          <w:szCs w:val="24"/>
        </w:rPr>
        <w:t>on a question of law from a Tribunal’s decision</w:t>
      </w:r>
    </w:p>
    <w:p w14:paraId="226F4601" w14:textId="77777777" w:rsidR="00DC0BB5" w:rsidRPr="00085953" w:rsidRDefault="00DC0BB5" w:rsidP="00D54373">
      <w:pPr>
        <w:spacing w:after="0" w:line="240" w:lineRule="auto"/>
        <w:jc w:val="center"/>
        <w:rPr>
          <w:rFonts w:ascii="Arial" w:hAnsi="Arial" w:cs="Arial"/>
          <w:kern w:val="0"/>
          <w:sz w:val="24"/>
          <w:szCs w:val="24"/>
        </w:rPr>
      </w:pPr>
      <w:r w:rsidRPr="00085953">
        <w:rPr>
          <w:rFonts w:ascii="Arial" w:hAnsi="Arial" w:cs="Arial"/>
          <w:kern w:val="0"/>
          <w:sz w:val="24"/>
          <w:szCs w:val="24"/>
        </w:rPr>
        <w:t>dated 27 March 2024</w:t>
      </w:r>
    </w:p>
    <w:p w14:paraId="21DD5421" w14:textId="77777777" w:rsidR="00DC0BB5" w:rsidRPr="00085953" w:rsidRDefault="00DC0BB5" w:rsidP="00D54373">
      <w:pPr>
        <w:spacing w:after="0" w:line="240" w:lineRule="auto"/>
        <w:jc w:val="center"/>
        <w:rPr>
          <w:rFonts w:ascii="Arial" w:hAnsi="Arial" w:cs="Arial"/>
          <w:kern w:val="0"/>
          <w:sz w:val="24"/>
          <w:szCs w:val="24"/>
        </w:rPr>
      </w:pPr>
    </w:p>
    <w:p w14:paraId="42F13F91" w14:textId="77777777" w:rsidR="00DC0BB5" w:rsidRPr="00085953" w:rsidRDefault="00DC0BB5" w:rsidP="00D54373">
      <w:pPr>
        <w:spacing w:after="0" w:line="240" w:lineRule="auto"/>
        <w:jc w:val="center"/>
        <w:rPr>
          <w:rFonts w:ascii="Arial" w:hAnsi="Arial" w:cs="Arial"/>
          <w:kern w:val="0"/>
          <w:sz w:val="24"/>
          <w:szCs w:val="24"/>
        </w:rPr>
      </w:pPr>
    </w:p>
    <w:p w14:paraId="3C2085C0" w14:textId="77777777" w:rsidR="00DC0BB5" w:rsidRPr="00085953" w:rsidRDefault="00DC0BB5" w:rsidP="00D54373">
      <w:pPr>
        <w:spacing w:after="0" w:line="240" w:lineRule="auto"/>
        <w:jc w:val="center"/>
        <w:rPr>
          <w:rFonts w:ascii="Arial" w:hAnsi="Arial" w:cs="Arial"/>
          <w:kern w:val="0"/>
          <w:sz w:val="24"/>
          <w:szCs w:val="24"/>
          <w:u w:val="single"/>
        </w:rPr>
      </w:pPr>
      <w:r w:rsidRPr="00085953">
        <w:rPr>
          <w:rFonts w:ascii="Arial" w:hAnsi="Arial" w:cs="Arial"/>
          <w:kern w:val="0"/>
          <w:sz w:val="24"/>
          <w:szCs w:val="24"/>
          <w:u w:val="single"/>
        </w:rPr>
        <w:t>DECISION OF THE SOCIAL SECURITY COMMISSIONER</w:t>
      </w:r>
    </w:p>
    <w:p w14:paraId="46B7FC0E" w14:textId="77777777" w:rsidR="00DC0BB5" w:rsidRPr="00D54373" w:rsidRDefault="00DC0BB5" w:rsidP="00085953">
      <w:pPr>
        <w:spacing w:after="0" w:line="240" w:lineRule="auto"/>
        <w:rPr>
          <w:rFonts w:ascii="Arial" w:hAnsi="Arial" w:cs="Arial"/>
          <w:kern w:val="0"/>
          <w:sz w:val="24"/>
          <w:szCs w:val="24"/>
        </w:rPr>
      </w:pPr>
    </w:p>
    <w:p w14:paraId="30EAC9CA" w14:textId="77777777" w:rsidR="00D54373" w:rsidRPr="00D54373" w:rsidRDefault="00D54373" w:rsidP="00085953">
      <w:pPr>
        <w:spacing w:after="0" w:line="240" w:lineRule="auto"/>
        <w:rPr>
          <w:rFonts w:ascii="Arial" w:hAnsi="Arial" w:cs="Arial"/>
          <w:kern w:val="0"/>
          <w:sz w:val="24"/>
          <w:szCs w:val="24"/>
        </w:rPr>
      </w:pPr>
    </w:p>
    <w:p w14:paraId="1B4D6EBE" w14:textId="415ED1E3" w:rsidR="00DC0BB5"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w:t>
      </w:r>
      <w:r>
        <w:rPr>
          <w:rFonts w:ascii="Arial" w:hAnsi="Arial" w:cs="Arial"/>
          <w:sz w:val="24"/>
          <w:szCs w:val="24"/>
        </w:rPr>
        <w:tab/>
      </w:r>
      <w:r w:rsidR="00725E06" w:rsidRPr="00085953">
        <w:rPr>
          <w:rFonts w:ascii="Arial" w:hAnsi="Arial" w:cs="Arial"/>
          <w:sz w:val="24"/>
          <w:szCs w:val="24"/>
        </w:rPr>
        <w:t>I g</w:t>
      </w:r>
      <w:r w:rsidR="006B545A" w:rsidRPr="00085953">
        <w:rPr>
          <w:rFonts w:ascii="Arial" w:hAnsi="Arial" w:cs="Arial"/>
          <w:sz w:val="24"/>
          <w:szCs w:val="24"/>
        </w:rPr>
        <w:t xml:space="preserve">ive </w:t>
      </w:r>
      <w:r w:rsidR="00725E06" w:rsidRPr="00085953">
        <w:rPr>
          <w:rFonts w:ascii="Arial" w:hAnsi="Arial" w:cs="Arial"/>
          <w:sz w:val="24"/>
          <w:szCs w:val="24"/>
        </w:rPr>
        <w:t xml:space="preserve">leave to appeal and allow the appeal. </w:t>
      </w:r>
      <w:r w:rsidR="00726CB3" w:rsidRPr="00085953">
        <w:rPr>
          <w:rFonts w:ascii="Arial" w:hAnsi="Arial" w:cs="Arial"/>
          <w:sz w:val="24"/>
          <w:szCs w:val="24"/>
        </w:rPr>
        <w:t xml:space="preserve"> I direct that t</w:t>
      </w:r>
      <w:r w:rsidR="00725E06" w:rsidRPr="00085953">
        <w:rPr>
          <w:rFonts w:ascii="Arial" w:hAnsi="Arial" w:cs="Arial"/>
          <w:sz w:val="24"/>
          <w:szCs w:val="24"/>
        </w:rPr>
        <w:t xml:space="preserve">he </w:t>
      </w:r>
      <w:r w:rsidR="008862AF" w:rsidRPr="00085953">
        <w:rPr>
          <w:rFonts w:ascii="Arial" w:hAnsi="Arial" w:cs="Arial"/>
          <w:sz w:val="24"/>
          <w:szCs w:val="24"/>
        </w:rPr>
        <w:t>Appellant’s</w:t>
      </w:r>
      <w:r w:rsidR="00725E06" w:rsidRPr="00085953">
        <w:rPr>
          <w:rFonts w:ascii="Arial" w:hAnsi="Arial" w:cs="Arial"/>
          <w:sz w:val="24"/>
          <w:szCs w:val="24"/>
        </w:rPr>
        <w:t xml:space="preserve"> </w:t>
      </w:r>
      <w:r w:rsidR="008862AF" w:rsidRPr="00085953">
        <w:rPr>
          <w:rFonts w:ascii="Arial" w:hAnsi="Arial" w:cs="Arial"/>
          <w:sz w:val="24"/>
          <w:szCs w:val="24"/>
        </w:rPr>
        <w:t>appeal</w:t>
      </w:r>
      <w:r w:rsidR="00725E06" w:rsidRPr="00085953">
        <w:rPr>
          <w:rFonts w:ascii="Arial" w:hAnsi="Arial" w:cs="Arial"/>
          <w:sz w:val="24"/>
          <w:szCs w:val="24"/>
        </w:rPr>
        <w:t xml:space="preserve"> </w:t>
      </w:r>
      <w:r w:rsidR="00132428" w:rsidRPr="00085953">
        <w:rPr>
          <w:rFonts w:ascii="Arial" w:hAnsi="Arial" w:cs="Arial"/>
          <w:sz w:val="24"/>
          <w:szCs w:val="24"/>
        </w:rPr>
        <w:t xml:space="preserve">against the Department’s decision of </w:t>
      </w:r>
      <w:r w:rsidR="00097B5C" w:rsidRPr="00085953">
        <w:rPr>
          <w:rFonts w:ascii="Arial" w:hAnsi="Arial" w:cs="Arial"/>
          <w:sz w:val="24"/>
          <w:szCs w:val="24"/>
        </w:rPr>
        <w:t>8 July 2022</w:t>
      </w:r>
      <w:r w:rsidR="00930B54" w:rsidRPr="00085953">
        <w:rPr>
          <w:rFonts w:ascii="Arial" w:hAnsi="Arial" w:cs="Arial"/>
          <w:sz w:val="24"/>
          <w:szCs w:val="24"/>
        </w:rPr>
        <w:t xml:space="preserve"> </w:t>
      </w:r>
      <w:r w:rsidR="00726CB3" w:rsidRPr="00085953">
        <w:rPr>
          <w:rFonts w:ascii="Arial" w:hAnsi="Arial" w:cs="Arial"/>
          <w:sz w:val="24"/>
          <w:szCs w:val="24"/>
        </w:rPr>
        <w:t>be</w:t>
      </w:r>
      <w:r w:rsidR="00725E06" w:rsidRPr="00085953">
        <w:rPr>
          <w:rFonts w:ascii="Arial" w:hAnsi="Arial" w:cs="Arial"/>
          <w:sz w:val="24"/>
          <w:szCs w:val="24"/>
        </w:rPr>
        <w:t xml:space="preserve"> remitted to the </w:t>
      </w:r>
      <w:r w:rsidR="00132428" w:rsidRPr="00085953">
        <w:rPr>
          <w:rFonts w:ascii="Arial" w:hAnsi="Arial" w:cs="Arial"/>
          <w:sz w:val="24"/>
          <w:szCs w:val="24"/>
        </w:rPr>
        <w:t>Appeal</w:t>
      </w:r>
      <w:r w:rsidR="00725E06" w:rsidRPr="00085953">
        <w:rPr>
          <w:rFonts w:ascii="Arial" w:hAnsi="Arial" w:cs="Arial"/>
          <w:sz w:val="24"/>
          <w:szCs w:val="24"/>
        </w:rPr>
        <w:t xml:space="preserve"> Tribunal</w:t>
      </w:r>
      <w:r w:rsidR="00DC0BB5" w:rsidRPr="00085953">
        <w:rPr>
          <w:rFonts w:ascii="Arial" w:hAnsi="Arial" w:cs="Arial"/>
          <w:sz w:val="24"/>
          <w:szCs w:val="24"/>
        </w:rPr>
        <w:t xml:space="preserve"> (the tribunal)</w:t>
      </w:r>
      <w:r w:rsidR="00725E06" w:rsidRPr="00085953">
        <w:rPr>
          <w:rFonts w:ascii="Arial" w:hAnsi="Arial" w:cs="Arial"/>
          <w:sz w:val="24"/>
          <w:szCs w:val="24"/>
        </w:rPr>
        <w:t xml:space="preserve"> to be considered </w:t>
      </w:r>
      <w:r w:rsidR="00643020" w:rsidRPr="00085953">
        <w:rPr>
          <w:rFonts w:ascii="Arial" w:hAnsi="Arial" w:cs="Arial"/>
          <w:sz w:val="24"/>
          <w:szCs w:val="24"/>
        </w:rPr>
        <w:t xml:space="preserve">entirely </w:t>
      </w:r>
      <w:r w:rsidR="00725E06" w:rsidRPr="00085953">
        <w:rPr>
          <w:rFonts w:ascii="Arial" w:hAnsi="Arial" w:cs="Arial"/>
          <w:sz w:val="24"/>
          <w:szCs w:val="24"/>
        </w:rPr>
        <w:t>afresh by a</w:t>
      </w:r>
      <w:r w:rsidR="00643020" w:rsidRPr="00085953">
        <w:rPr>
          <w:rFonts w:ascii="Arial" w:hAnsi="Arial" w:cs="Arial"/>
          <w:sz w:val="24"/>
          <w:szCs w:val="24"/>
        </w:rPr>
        <w:t xml:space="preserve"> wholly</w:t>
      </w:r>
      <w:r w:rsidR="00725E06" w:rsidRPr="00085953">
        <w:rPr>
          <w:rFonts w:ascii="Arial" w:hAnsi="Arial" w:cs="Arial"/>
          <w:sz w:val="24"/>
          <w:szCs w:val="24"/>
        </w:rPr>
        <w:t xml:space="preserve"> </w:t>
      </w:r>
      <w:r w:rsidR="00132428" w:rsidRPr="00085953">
        <w:rPr>
          <w:rFonts w:ascii="Arial" w:hAnsi="Arial" w:cs="Arial"/>
          <w:sz w:val="24"/>
          <w:szCs w:val="24"/>
        </w:rPr>
        <w:t>differently</w:t>
      </w:r>
      <w:r w:rsidR="00725E06" w:rsidRPr="00085953">
        <w:rPr>
          <w:rFonts w:ascii="Arial" w:hAnsi="Arial" w:cs="Arial"/>
          <w:sz w:val="24"/>
          <w:szCs w:val="24"/>
        </w:rPr>
        <w:t xml:space="preserve"> constituted panel.</w:t>
      </w:r>
    </w:p>
    <w:p w14:paraId="049E37B5" w14:textId="77777777" w:rsidR="00DC0BB5" w:rsidRPr="00085953" w:rsidRDefault="00DC0BB5" w:rsidP="00D54373">
      <w:pPr>
        <w:tabs>
          <w:tab w:val="left" w:pos="510"/>
          <w:tab w:val="left" w:pos="1077"/>
          <w:tab w:val="left" w:pos="1797"/>
        </w:tabs>
        <w:spacing w:after="0" w:line="240" w:lineRule="auto"/>
        <w:ind w:left="510" w:hanging="510"/>
        <w:jc w:val="both"/>
        <w:rPr>
          <w:rFonts w:ascii="Arial" w:hAnsi="Arial" w:cs="Arial"/>
          <w:sz w:val="24"/>
          <w:szCs w:val="24"/>
        </w:rPr>
      </w:pPr>
    </w:p>
    <w:p w14:paraId="44CBD593" w14:textId="301D2EED" w:rsidR="00DC0BB5"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w:t>
      </w:r>
      <w:r>
        <w:rPr>
          <w:rFonts w:ascii="Arial" w:hAnsi="Arial" w:cs="Arial"/>
          <w:sz w:val="24"/>
          <w:szCs w:val="24"/>
        </w:rPr>
        <w:tab/>
      </w:r>
      <w:r w:rsidR="00930B54" w:rsidRPr="00085953">
        <w:rPr>
          <w:rFonts w:ascii="Arial" w:hAnsi="Arial" w:cs="Arial"/>
          <w:sz w:val="24"/>
          <w:szCs w:val="24"/>
        </w:rPr>
        <w:t xml:space="preserve">By the </w:t>
      </w:r>
      <w:r w:rsidR="006B545A" w:rsidRPr="00085953">
        <w:rPr>
          <w:rFonts w:ascii="Arial" w:hAnsi="Arial" w:cs="Arial"/>
          <w:sz w:val="24"/>
          <w:szCs w:val="24"/>
        </w:rPr>
        <w:t>above</w:t>
      </w:r>
      <w:r w:rsidR="00930B54" w:rsidRPr="00085953">
        <w:rPr>
          <w:rFonts w:ascii="Arial" w:hAnsi="Arial" w:cs="Arial"/>
          <w:sz w:val="24"/>
          <w:szCs w:val="24"/>
        </w:rPr>
        <w:t xml:space="preserve"> </w:t>
      </w:r>
      <w:r w:rsidR="006B545A" w:rsidRPr="00085953">
        <w:rPr>
          <w:rFonts w:ascii="Arial" w:hAnsi="Arial" w:cs="Arial"/>
          <w:sz w:val="24"/>
          <w:szCs w:val="24"/>
        </w:rPr>
        <w:t>decision,</w:t>
      </w:r>
      <w:r w:rsidR="00930B54" w:rsidRPr="00085953">
        <w:rPr>
          <w:rFonts w:ascii="Arial" w:hAnsi="Arial" w:cs="Arial"/>
          <w:sz w:val="24"/>
          <w:szCs w:val="24"/>
        </w:rPr>
        <w:t xml:space="preserve"> the </w:t>
      </w:r>
      <w:r w:rsidR="006B545A" w:rsidRPr="00085953">
        <w:rPr>
          <w:rFonts w:ascii="Arial" w:hAnsi="Arial" w:cs="Arial"/>
          <w:sz w:val="24"/>
          <w:szCs w:val="24"/>
        </w:rPr>
        <w:t>Department</w:t>
      </w:r>
      <w:r w:rsidR="00DC0BB5" w:rsidRPr="00085953">
        <w:rPr>
          <w:rFonts w:ascii="Arial" w:hAnsi="Arial" w:cs="Arial"/>
          <w:sz w:val="24"/>
          <w:szCs w:val="24"/>
        </w:rPr>
        <w:t xml:space="preserve"> for Communities (the Department) </w:t>
      </w:r>
      <w:r w:rsidR="00930B54" w:rsidRPr="00085953">
        <w:rPr>
          <w:rFonts w:ascii="Arial" w:hAnsi="Arial" w:cs="Arial"/>
          <w:sz w:val="24"/>
          <w:szCs w:val="24"/>
        </w:rPr>
        <w:t xml:space="preserve">had </w:t>
      </w:r>
      <w:r w:rsidR="00290F44" w:rsidRPr="00085953">
        <w:rPr>
          <w:rFonts w:ascii="Arial" w:hAnsi="Arial" w:cs="Arial"/>
          <w:sz w:val="24"/>
          <w:szCs w:val="24"/>
        </w:rPr>
        <w:t xml:space="preserve">determined that </w:t>
      </w:r>
      <w:r w:rsidR="00930B54" w:rsidRPr="00085953">
        <w:rPr>
          <w:rFonts w:ascii="Arial" w:hAnsi="Arial" w:cs="Arial"/>
          <w:sz w:val="24"/>
          <w:szCs w:val="24"/>
        </w:rPr>
        <w:t xml:space="preserve">the </w:t>
      </w:r>
      <w:r w:rsidR="006B545A" w:rsidRPr="00085953">
        <w:rPr>
          <w:rFonts w:ascii="Arial" w:hAnsi="Arial" w:cs="Arial"/>
          <w:sz w:val="24"/>
          <w:szCs w:val="24"/>
        </w:rPr>
        <w:t>Appellant</w:t>
      </w:r>
      <w:r w:rsidR="00290F44" w:rsidRPr="00085953">
        <w:rPr>
          <w:rFonts w:ascii="Arial" w:hAnsi="Arial" w:cs="Arial"/>
          <w:sz w:val="24"/>
          <w:szCs w:val="24"/>
        </w:rPr>
        <w:t xml:space="preserve"> had Limited Capability for Work (LCW) but did not have, nor could be treated as having, </w:t>
      </w:r>
      <w:r w:rsidR="001B5523" w:rsidRPr="00085953">
        <w:rPr>
          <w:rFonts w:ascii="Arial" w:hAnsi="Arial" w:cs="Arial"/>
          <w:sz w:val="24"/>
          <w:szCs w:val="24"/>
        </w:rPr>
        <w:t>Limited</w:t>
      </w:r>
      <w:r w:rsidR="00290F44" w:rsidRPr="00085953">
        <w:rPr>
          <w:rFonts w:ascii="Arial" w:hAnsi="Arial" w:cs="Arial"/>
          <w:sz w:val="24"/>
          <w:szCs w:val="24"/>
        </w:rPr>
        <w:t xml:space="preserve"> </w:t>
      </w:r>
      <w:r w:rsidR="00FC0B63" w:rsidRPr="00085953">
        <w:rPr>
          <w:rFonts w:ascii="Arial" w:hAnsi="Arial" w:cs="Arial"/>
          <w:sz w:val="24"/>
          <w:szCs w:val="24"/>
        </w:rPr>
        <w:t>Capability</w:t>
      </w:r>
      <w:r w:rsidR="00290F44" w:rsidRPr="00085953">
        <w:rPr>
          <w:rFonts w:ascii="Arial" w:hAnsi="Arial" w:cs="Arial"/>
          <w:sz w:val="24"/>
          <w:szCs w:val="24"/>
        </w:rPr>
        <w:t xml:space="preserve"> </w:t>
      </w:r>
      <w:r w:rsidR="001E583C" w:rsidRPr="00085953">
        <w:rPr>
          <w:rFonts w:ascii="Arial" w:hAnsi="Arial" w:cs="Arial"/>
          <w:sz w:val="24"/>
          <w:szCs w:val="24"/>
        </w:rPr>
        <w:t>for</w:t>
      </w:r>
      <w:r w:rsidR="00290F44" w:rsidRPr="00085953">
        <w:rPr>
          <w:rFonts w:ascii="Arial" w:hAnsi="Arial" w:cs="Arial"/>
          <w:sz w:val="24"/>
          <w:szCs w:val="24"/>
        </w:rPr>
        <w:t xml:space="preserve"> Work Related </w:t>
      </w:r>
      <w:r w:rsidR="001B5523" w:rsidRPr="00085953">
        <w:rPr>
          <w:rFonts w:ascii="Arial" w:hAnsi="Arial" w:cs="Arial"/>
          <w:sz w:val="24"/>
          <w:szCs w:val="24"/>
        </w:rPr>
        <w:t>Activity</w:t>
      </w:r>
      <w:r w:rsidR="00ED49FF" w:rsidRPr="00085953">
        <w:rPr>
          <w:rFonts w:ascii="Arial" w:hAnsi="Arial" w:cs="Arial"/>
          <w:sz w:val="24"/>
          <w:szCs w:val="24"/>
        </w:rPr>
        <w:t xml:space="preserve"> (LCWRA)</w:t>
      </w:r>
      <w:r w:rsidR="00290F44" w:rsidRPr="00085953">
        <w:rPr>
          <w:rFonts w:ascii="Arial" w:hAnsi="Arial" w:cs="Arial"/>
          <w:sz w:val="24"/>
          <w:szCs w:val="24"/>
        </w:rPr>
        <w:t>.</w:t>
      </w:r>
    </w:p>
    <w:p w14:paraId="5ACD326E" w14:textId="77777777" w:rsidR="00DC0BB5" w:rsidRPr="00085953" w:rsidRDefault="00DC0BB5" w:rsidP="00D5437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0D14917D" w14:textId="32DECEAB" w:rsidR="00DC0BB5"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3.</w:t>
      </w:r>
      <w:r>
        <w:rPr>
          <w:rFonts w:ascii="Arial" w:hAnsi="Arial" w:cs="Arial"/>
          <w:sz w:val="24"/>
          <w:szCs w:val="24"/>
        </w:rPr>
        <w:tab/>
      </w:r>
      <w:r w:rsidR="002967E2" w:rsidRPr="00085953">
        <w:rPr>
          <w:rFonts w:ascii="Arial" w:hAnsi="Arial" w:cs="Arial"/>
          <w:sz w:val="24"/>
          <w:szCs w:val="24"/>
        </w:rPr>
        <w:t xml:space="preserve">A </w:t>
      </w:r>
      <w:r w:rsidR="001B5523" w:rsidRPr="00085953">
        <w:rPr>
          <w:rFonts w:ascii="Arial" w:hAnsi="Arial" w:cs="Arial"/>
          <w:sz w:val="24"/>
          <w:szCs w:val="24"/>
        </w:rPr>
        <w:t>further</w:t>
      </w:r>
      <w:r w:rsidR="002967E2" w:rsidRPr="00085953">
        <w:rPr>
          <w:rFonts w:ascii="Arial" w:hAnsi="Arial" w:cs="Arial"/>
          <w:sz w:val="24"/>
          <w:szCs w:val="24"/>
        </w:rPr>
        <w:t xml:space="preserve"> decision, taken on 23 January 2024</w:t>
      </w:r>
      <w:r w:rsidR="007C6520" w:rsidRPr="00085953">
        <w:rPr>
          <w:rFonts w:ascii="Arial" w:hAnsi="Arial" w:cs="Arial"/>
          <w:sz w:val="24"/>
          <w:szCs w:val="24"/>
        </w:rPr>
        <w:t xml:space="preserve">, reached a </w:t>
      </w:r>
      <w:r w:rsidR="001B5523" w:rsidRPr="00085953">
        <w:rPr>
          <w:rFonts w:ascii="Arial" w:hAnsi="Arial" w:cs="Arial"/>
          <w:sz w:val="24"/>
          <w:szCs w:val="24"/>
        </w:rPr>
        <w:t>similar</w:t>
      </w:r>
      <w:r w:rsidR="007C6520" w:rsidRPr="00085953">
        <w:rPr>
          <w:rFonts w:ascii="Arial" w:hAnsi="Arial" w:cs="Arial"/>
          <w:sz w:val="24"/>
          <w:szCs w:val="24"/>
        </w:rPr>
        <w:t xml:space="preserve"> conclusion.  The present </w:t>
      </w:r>
      <w:r w:rsidR="001B5523" w:rsidRPr="00085953">
        <w:rPr>
          <w:rFonts w:ascii="Arial" w:hAnsi="Arial" w:cs="Arial"/>
          <w:sz w:val="24"/>
          <w:szCs w:val="24"/>
        </w:rPr>
        <w:t>appeal now</w:t>
      </w:r>
      <w:r w:rsidR="007C6520" w:rsidRPr="00085953">
        <w:rPr>
          <w:rFonts w:ascii="Arial" w:hAnsi="Arial" w:cs="Arial"/>
          <w:sz w:val="24"/>
          <w:szCs w:val="24"/>
        </w:rPr>
        <w:t xml:space="preserve"> </w:t>
      </w:r>
      <w:r w:rsidR="00FC0B63" w:rsidRPr="00085953">
        <w:rPr>
          <w:rFonts w:ascii="Arial" w:hAnsi="Arial" w:cs="Arial"/>
          <w:sz w:val="24"/>
          <w:szCs w:val="24"/>
        </w:rPr>
        <w:t>concerns</w:t>
      </w:r>
      <w:r w:rsidR="007C6520" w:rsidRPr="00085953">
        <w:rPr>
          <w:rFonts w:ascii="Arial" w:hAnsi="Arial" w:cs="Arial"/>
          <w:sz w:val="24"/>
          <w:szCs w:val="24"/>
        </w:rPr>
        <w:t xml:space="preserve"> a “closed period” </w:t>
      </w:r>
      <w:r w:rsidR="00F834C5" w:rsidRPr="00085953">
        <w:rPr>
          <w:rFonts w:ascii="Arial" w:hAnsi="Arial" w:cs="Arial"/>
          <w:sz w:val="24"/>
          <w:szCs w:val="24"/>
        </w:rPr>
        <w:t xml:space="preserve">from 10 May 2022 to 22 </w:t>
      </w:r>
      <w:r w:rsidR="001B5523" w:rsidRPr="00085953">
        <w:rPr>
          <w:rFonts w:ascii="Arial" w:hAnsi="Arial" w:cs="Arial"/>
          <w:sz w:val="24"/>
          <w:szCs w:val="24"/>
        </w:rPr>
        <w:t>January</w:t>
      </w:r>
      <w:r w:rsidR="00F834C5" w:rsidRPr="00085953">
        <w:rPr>
          <w:rFonts w:ascii="Arial" w:hAnsi="Arial" w:cs="Arial"/>
          <w:sz w:val="24"/>
          <w:szCs w:val="24"/>
        </w:rPr>
        <w:t xml:space="preserve"> 2024 (inclusive).</w:t>
      </w:r>
    </w:p>
    <w:p w14:paraId="691E0E9F" w14:textId="77777777" w:rsidR="00DC0BB5" w:rsidRPr="00085953" w:rsidRDefault="00DC0BB5" w:rsidP="00D5437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123DC07" w14:textId="2CDEA90F" w:rsidR="00DC0BB5"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4.</w:t>
      </w:r>
      <w:r>
        <w:rPr>
          <w:rFonts w:ascii="Arial" w:hAnsi="Arial" w:cs="Arial"/>
          <w:sz w:val="24"/>
          <w:szCs w:val="24"/>
        </w:rPr>
        <w:tab/>
      </w:r>
      <w:r w:rsidR="00930B54" w:rsidRPr="00085953">
        <w:rPr>
          <w:rFonts w:ascii="Arial" w:hAnsi="Arial" w:cs="Arial"/>
          <w:sz w:val="24"/>
          <w:szCs w:val="24"/>
        </w:rPr>
        <w:t xml:space="preserve">On </w:t>
      </w:r>
      <w:r w:rsidR="00037174" w:rsidRPr="00085953">
        <w:rPr>
          <w:rFonts w:ascii="Arial" w:hAnsi="Arial" w:cs="Arial"/>
          <w:sz w:val="24"/>
          <w:szCs w:val="24"/>
        </w:rPr>
        <w:t>27 March 2024</w:t>
      </w:r>
      <w:r w:rsidR="000E1E18" w:rsidRPr="00085953">
        <w:rPr>
          <w:rFonts w:ascii="Arial" w:hAnsi="Arial" w:cs="Arial"/>
          <w:sz w:val="24"/>
          <w:szCs w:val="24"/>
        </w:rPr>
        <w:t xml:space="preserve"> the Appellant’s</w:t>
      </w:r>
      <w:r w:rsidR="00930B54" w:rsidRPr="00085953">
        <w:rPr>
          <w:rFonts w:ascii="Arial" w:hAnsi="Arial" w:cs="Arial"/>
          <w:sz w:val="24"/>
          <w:szCs w:val="24"/>
        </w:rPr>
        <w:t xml:space="preserve"> appeal against th</w:t>
      </w:r>
      <w:r w:rsidR="00E33E3B" w:rsidRPr="00085953">
        <w:rPr>
          <w:rFonts w:ascii="Arial" w:hAnsi="Arial" w:cs="Arial"/>
          <w:sz w:val="24"/>
          <w:szCs w:val="24"/>
        </w:rPr>
        <w:t>e</w:t>
      </w:r>
      <w:r w:rsidR="00930B54" w:rsidRPr="00085953">
        <w:rPr>
          <w:rFonts w:ascii="Arial" w:hAnsi="Arial" w:cs="Arial"/>
          <w:sz w:val="24"/>
          <w:szCs w:val="24"/>
        </w:rPr>
        <w:t xml:space="preserve"> </w:t>
      </w:r>
      <w:r w:rsidR="006B545A" w:rsidRPr="00085953">
        <w:rPr>
          <w:rFonts w:ascii="Arial" w:hAnsi="Arial" w:cs="Arial"/>
          <w:sz w:val="24"/>
          <w:szCs w:val="24"/>
        </w:rPr>
        <w:t>decision</w:t>
      </w:r>
      <w:r w:rsidR="00930B54" w:rsidRPr="00085953">
        <w:rPr>
          <w:rFonts w:ascii="Arial" w:hAnsi="Arial" w:cs="Arial"/>
          <w:sz w:val="24"/>
          <w:szCs w:val="24"/>
        </w:rPr>
        <w:t xml:space="preserve"> </w:t>
      </w:r>
      <w:r w:rsidR="00E33E3B" w:rsidRPr="00085953">
        <w:rPr>
          <w:rFonts w:ascii="Arial" w:hAnsi="Arial" w:cs="Arial"/>
          <w:sz w:val="24"/>
          <w:szCs w:val="24"/>
        </w:rPr>
        <w:t xml:space="preserve">of 8 July 2022 </w:t>
      </w:r>
      <w:r w:rsidR="00930B54" w:rsidRPr="00085953">
        <w:rPr>
          <w:rFonts w:ascii="Arial" w:hAnsi="Arial" w:cs="Arial"/>
          <w:sz w:val="24"/>
          <w:szCs w:val="24"/>
        </w:rPr>
        <w:t xml:space="preserve">came </w:t>
      </w:r>
      <w:r w:rsidR="006B545A" w:rsidRPr="00085953">
        <w:rPr>
          <w:rFonts w:ascii="Arial" w:hAnsi="Arial" w:cs="Arial"/>
          <w:sz w:val="24"/>
          <w:szCs w:val="24"/>
        </w:rPr>
        <w:t>before the</w:t>
      </w:r>
      <w:r w:rsidR="00930B54" w:rsidRPr="00085953">
        <w:rPr>
          <w:rFonts w:ascii="Arial" w:hAnsi="Arial" w:cs="Arial"/>
          <w:sz w:val="24"/>
          <w:szCs w:val="24"/>
        </w:rPr>
        <w:t xml:space="preserve"> </w:t>
      </w:r>
      <w:r w:rsidR="00DC0BB5" w:rsidRPr="00085953">
        <w:rPr>
          <w:rFonts w:ascii="Arial" w:hAnsi="Arial" w:cs="Arial"/>
          <w:sz w:val="24"/>
          <w:szCs w:val="24"/>
        </w:rPr>
        <w:t>t</w:t>
      </w:r>
      <w:r w:rsidR="006B545A" w:rsidRPr="00085953">
        <w:rPr>
          <w:rFonts w:ascii="Arial" w:hAnsi="Arial" w:cs="Arial"/>
          <w:sz w:val="24"/>
          <w:szCs w:val="24"/>
        </w:rPr>
        <w:t>ribunal</w:t>
      </w:r>
      <w:r w:rsidR="00930B54" w:rsidRPr="00085953">
        <w:rPr>
          <w:rFonts w:ascii="Arial" w:hAnsi="Arial" w:cs="Arial"/>
          <w:sz w:val="24"/>
          <w:szCs w:val="24"/>
        </w:rPr>
        <w:t xml:space="preserve"> </w:t>
      </w:r>
      <w:r w:rsidR="000E1E18" w:rsidRPr="00085953">
        <w:rPr>
          <w:rFonts w:ascii="Arial" w:hAnsi="Arial" w:cs="Arial"/>
          <w:sz w:val="24"/>
          <w:szCs w:val="24"/>
        </w:rPr>
        <w:t xml:space="preserve">in </w:t>
      </w:r>
      <w:r w:rsidR="00930B54" w:rsidRPr="00085953">
        <w:rPr>
          <w:rFonts w:ascii="Arial" w:hAnsi="Arial" w:cs="Arial"/>
          <w:sz w:val="24"/>
          <w:szCs w:val="24"/>
        </w:rPr>
        <w:t xml:space="preserve">a </w:t>
      </w:r>
      <w:r w:rsidR="000E1E18" w:rsidRPr="00085953">
        <w:rPr>
          <w:rFonts w:ascii="Arial" w:hAnsi="Arial" w:cs="Arial"/>
          <w:sz w:val="24"/>
          <w:szCs w:val="24"/>
        </w:rPr>
        <w:t xml:space="preserve">telephone </w:t>
      </w:r>
      <w:r w:rsidR="00930B54" w:rsidRPr="00085953">
        <w:rPr>
          <w:rFonts w:ascii="Arial" w:hAnsi="Arial" w:cs="Arial"/>
          <w:sz w:val="24"/>
          <w:szCs w:val="24"/>
        </w:rPr>
        <w:t>hearing</w:t>
      </w:r>
      <w:r w:rsidR="000E1E18" w:rsidRPr="00085953">
        <w:rPr>
          <w:rFonts w:ascii="Arial" w:hAnsi="Arial" w:cs="Arial"/>
          <w:sz w:val="24"/>
          <w:szCs w:val="24"/>
        </w:rPr>
        <w:t>.</w:t>
      </w:r>
      <w:r w:rsidR="006B545A" w:rsidRPr="00085953">
        <w:rPr>
          <w:rFonts w:ascii="Arial" w:hAnsi="Arial" w:cs="Arial"/>
          <w:sz w:val="24"/>
          <w:szCs w:val="24"/>
        </w:rPr>
        <w:t xml:space="preserve"> </w:t>
      </w:r>
      <w:r w:rsidR="00930B54" w:rsidRPr="00085953">
        <w:rPr>
          <w:rFonts w:ascii="Arial" w:hAnsi="Arial" w:cs="Arial"/>
          <w:sz w:val="24"/>
          <w:szCs w:val="24"/>
        </w:rPr>
        <w:t xml:space="preserve"> The </w:t>
      </w:r>
      <w:r w:rsidR="006B545A" w:rsidRPr="00085953">
        <w:rPr>
          <w:rFonts w:ascii="Arial" w:hAnsi="Arial" w:cs="Arial"/>
          <w:sz w:val="24"/>
          <w:szCs w:val="24"/>
        </w:rPr>
        <w:t>appeal</w:t>
      </w:r>
      <w:r w:rsidR="00930B54" w:rsidRPr="00085953">
        <w:rPr>
          <w:rFonts w:ascii="Arial" w:hAnsi="Arial" w:cs="Arial"/>
          <w:sz w:val="24"/>
          <w:szCs w:val="24"/>
        </w:rPr>
        <w:t xml:space="preserve"> </w:t>
      </w:r>
      <w:r w:rsidR="006B545A" w:rsidRPr="00085953">
        <w:rPr>
          <w:rFonts w:ascii="Arial" w:hAnsi="Arial" w:cs="Arial"/>
          <w:sz w:val="24"/>
          <w:szCs w:val="24"/>
        </w:rPr>
        <w:t>w</w:t>
      </w:r>
      <w:r w:rsidR="00930B54" w:rsidRPr="00085953">
        <w:rPr>
          <w:rFonts w:ascii="Arial" w:hAnsi="Arial" w:cs="Arial"/>
          <w:sz w:val="24"/>
          <w:szCs w:val="24"/>
        </w:rPr>
        <w:t>as dismissed.</w:t>
      </w:r>
    </w:p>
    <w:p w14:paraId="17BCD276" w14:textId="77777777" w:rsidR="00DC0BB5" w:rsidRPr="00085953" w:rsidRDefault="00DC0BB5" w:rsidP="00D5437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41E2AB25" w14:textId="3D5FFC0A" w:rsidR="007167B2"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5.</w:t>
      </w:r>
      <w:r>
        <w:rPr>
          <w:rFonts w:ascii="Arial" w:hAnsi="Arial" w:cs="Arial"/>
          <w:sz w:val="24"/>
          <w:szCs w:val="24"/>
        </w:rPr>
        <w:tab/>
      </w:r>
      <w:r w:rsidR="00AC2518" w:rsidRPr="00085953">
        <w:rPr>
          <w:rFonts w:ascii="Arial" w:hAnsi="Arial" w:cs="Arial"/>
          <w:sz w:val="24"/>
          <w:szCs w:val="24"/>
        </w:rPr>
        <w:t>With</w:t>
      </w:r>
      <w:r w:rsidR="0040181B" w:rsidRPr="00085953">
        <w:rPr>
          <w:rFonts w:ascii="Arial" w:hAnsi="Arial" w:cs="Arial"/>
          <w:sz w:val="24"/>
          <w:szCs w:val="24"/>
        </w:rPr>
        <w:t xml:space="preserve"> </w:t>
      </w:r>
      <w:r w:rsidR="00AC2518" w:rsidRPr="00085953">
        <w:rPr>
          <w:rFonts w:ascii="Arial" w:hAnsi="Arial" w:cs="Arial"/>
          <w:sz w:val="24"/>
          <w:szCs w:val="24"/>
        </w:rPr>
        <w:t>t</w:t>
      </w:r>
      <w:r w:rsidR="0040181B" w:rsidRPr="00085953">
        <w:rPr>
          <w:rFonts w:ascii="Arial" w:hAnsi="Arial" w:cs="Arial"/>
          <w:sz w:val="24"/>
          <w:szCs w:val="24"/>
        </w:rPr>
        <w:t xml:space="preserve">he assistance of her </w:t>
      </w:r>
      <w:r w:rsidR="001B5523" w:rsidRPr="00085953">
        <w:rPr>
          <w:rFonts w:ascii="Arial" w:hAnsi="Arial" w:cs="Arial"/>
          <w:sz w:val="24"/>
          <w:szCs w:val="24"/>
        </w:rPr>
        <w:t>representative</w:t>
      </w:r>
      <w:r w:rsidR="0040181B" w:rsidRPr="00085953">
        <w:rPr>
          <w:rFonts w:ascii="Arial" w:hAnsi="Arial" w:cs="Arial"/>
          <w:sz w:val="24"/>
          <w:szCs w:val="24"/>
        </w:rPr>
        <w:t>,</w:t>
      </w:r>
      <w:r w:rsidR="00B91702" w:rsidRPr="00085953">
        <w:rPr>
          <w:rFonts w:ascii="Arial" w:hAnsi="Arial" w:cs="Arial"/>
          <w:sz w:val="24"/>
          <w:szCs w:val="24"/>
        </w:rPr>
        <w:t xml:space="preserve"> Katie MacCabe of </w:t>
      </w:r>
      <w:r w:rsidR="0040181B" w:rsidRPr="00085953">
        <w:rPr>
          <w:rFonts w:ascii="Arial" w:hAnsi="Arial" w:cs="Arial"/>
          <w:sz w:val="24"/>
          <w:szCs w:val="24"/>
        </w:rPr>
        <w:t xml:space="preserve">Law Centre NI, the </w:t>
      </w:r>
      <w:r w:rsidR="001B5523" w:rsidRPr="00085953">
        <w:rPr>
          <w:rFonts w:ascii="Arial" w:hAnsi="Arial" w:cs="Arial"/>
          <w:sz w:val="24"/>
          <w:szCs w:val="24"/>
        </w:rPr>
        <w:t>Appellant</w:t>
      </w:r>
      <w:r w:rsidR="0040181B" w:rsidRPr="00085953">
        <w:rPr>
          <w:rFonts w:ascii="Arial" w:hAnsi="Arial" w:cs="Arial"/>
          <w:sz w:val="24"/>
          <w:szCs w:val="24"/>
        </w:rPr>
        <w:t xml:space="preserve"> </w:t>
      </w:r>
      <w:r w:rsidR="00930B54" w:rsidRPr="00085953">
        <w:rPr>
          <w:rFonts w:ascii="Arial" w:hAnsi="Arial" w:cs="Arial"/>
          <w:sz w:val="24"/>
          <w:szCs w:val="24"/>
        </w:rPr>
        <w:t xml:space="preserve">has </w:t>
      </w:r>
      <w:r w:rsidR="006B545A" w:rsidRPr="00085953">
        <w:rPr>
          <w:rFonts w:ascii="Arial" w:hAnsi="Arial" w:cs="Arial"/>
          <w:sz w:val="24"/>
          <w:szCs w:val="24"/>
        </w:rPr>
        <w:t>sought</w:t>
      </w:r>
      <w:r w:rsidR="00930B54" w:rsidRPr="00085953">
        <w:rPr>
          <w:rFonts w:ascii="Arial" w:hAnsi="Arial" w:cs="Arial"/>
          <w:sz w:val="24"/>
          <w:szCs w:val="24"/>
        </w:rPr>
        <w:t xml:space="preserve"> leave to </w:t>
      </w:r>
      <w:r w:rsidR="006B545A" w:rsidRPr="00085953">
        <w:rPr>
          <w:rFonts w:ascii="Arial" w:hAnsi="Arial" w:cs="Arial"/>
          <w:sz w:val="24"/>
          <w:szCs w:val="24"/>
        </w:rPr>
        <w:t>appeal</w:t>
      </w:r>
      <w:r w:rsidR="00930B54" w:rsidRPr="00085953">
        <w:rPr>
          <w:rFonts w:ascii="Arial" w:hAnsi="Arial" w:cs="Arial"/>
          <w:sz w:val="24"/>
          <w:szCs w:val="24"/>
        </w:rPr>
        <w:t xml:space="preserve"> </w:t>
      </w:r>
      <w:r w:rsidR="006B545A" w:rsidRPr="00085953">
        <w:rPr>
          <w:rFonts w:ascii="Arial" w:hAnsi="Arial" w:cs="Arial"/>
          <w:sz w:val="24"/>
          <w:szCs w:val="24"/>
        </w:rPr>
        <w:t>to</w:t>
      </w:r>
      <w:r w:rsidR="00930B54" w:rsidRPr="00085953">
        <w:rPr>
          <w:rFonts w:ascii="Arial" w:hAnsi="Arial" w:cs="Arial"/>
          <w:sz w:val="24"/>
          <w:szCs w:val="24"/>
        </w:rPr>
        <w:t xml:space="preserve"> </w:t>
      </w:r>
      <w:r w:rsidR="006B545A" w:rsidRPr="00085953">
        <w:rPr>
          <w:rFonts w:ascii="Arial" w:hAnsi="Arial" w:cs="Arial"/>
          <w:sz w:val="24"/>
          <w:szCs w:val="24"/>
        </w:rPr>
        <w:t>t</w:t>
      </w:r>
      <w:r w:rsidR="00930B54" w:rsidRPr="00085953">
        <w:rPr>
          <w:rFonts w:ascii="Arial" w:hAnsi="Arial" w:cs="Arial"/>
          <w:sz w:val="24"/>
          <w:szCs w:val="24"/>
        </w:rPr>
        <w:t xml:space="preserve">he </w:t>
      </w:r>
      <w:r w:rsidR="006B545A" w:rsidRPr="00085953">
        <w:rPr>
          <w:rFonts w:ascii="Arial" w:hAnsi="Arial" w:cs="Arial"/>
          <w:sz w:val="24"/>
          <w:szCs w:val="24"/>
        </w:rPr>
        <w:t>Commissioners</w:t>
      </w:r>
      <w:r w:rsidR="005030BD" w:rsidRPr="00085953">
        <w:rPr>
          <w:rFonts w:ascii="Arial" w:hAnsi="Arial" w:cs="Arial"/>
          <w:sz w:val="24"/>
          <w:szCs w:val="24"/>
        </w:rPr>
        <w:t>.</w:t>
      </w:r>
      <w:r>
        <w:rPr>
          <w:rFonts w:ascii="Arial" w:hAnsi="Arial" w:cs="Arial"/>
          <w:sz w:val="24"/>
          <w:szCs w:val="24"/>
        </w:rPr>
        <w:t xml:space="preserve"> </w:t>
      </w:r>
      <w:r w:rsidR="00792F66" w:rsidRPr="00085953">
        <w:rPr>
          <w:rFonts w:ascii="Arial" w:hAnsi="Arial" w:cs="Arial"/>
          <w:sz w:val="24"/>
          <w:szCs w:val="24"/>
        </w:rPr>
        <w:t xml:space="preserve"> The ground of appeal, </w:t>
      </w:r>
      <w:r w:rsidR="00B91702" w:rsidRPr="00085953">
        <w:rPr>
          <w:rFonts w:ascii="Arial" w:hAnsi="Arial" w:cs="Arial"/>
          <w:sz w:val="24"/>
          <w:szCs w:val="24"/>
        </w:rPr>
        <w:t>which has</w:t>
      </w:r>
      <w:r w:rsidR="00792F66" w:rsidRPr="00085953">
        <w:rPr>
          <w:rFonts w:ascii="Arial" w:hAnsi="Arial" w:cs="Arial"/>
          <w:sz w:val="24"/>
          <w:szCs w:val="24"/>
        </w:rPr>
        <w:t xml:space="preserve"> four sub-grounds</w:t>
      </w:r>
      <w:r w:rsidR="00AC2518" w:rsidRPr="00085953">
        <w:rPr>
          <w:rFonts w:ascii="Arial" w:hAnsi="Arial" w:cs="Arial"/>
          <w:sz w:val="24"/>
          <w:szCs w:val="24"/>
        </w:rPr>
        <w:t>,</w:t>
      </w:r>
      <w:r w:rsidR="00CA1B3E" w:rsidRPr="00085953">
        <w:rPr>
          <w:rFonts w:ascii="Arial" w:hAnsi="Arial" w:cs="Arial"/>
          <w:sz w:val="24"/>
          <w:szCs w:val="24"/>
        </w:rPr>
        <w:t xml:space="preserve"> was that the </w:t>
      </w:r>
      <w:r w:rsidR="00DC0BB5" w:rsidRPr="00085953">
        <w:rPr>
          <w:rFonts w:ascii="Arial" w:hAnsi="Arial" w:cs="Arial"/>
          <w:sz w:val="24"/>
          <w:szCs w:val="24"/>
        </w:rPr>
        <w:t>t</w:t>
      </w:r>
      <w:r w:rsidR="00CA1B3E" w:rsidRPr="00085953">
        <w:rPr>
          <w:rFonts w:ascii="Arial" w:hAnsi="Arial" w:cs="Arial"/>
          <w:sz w:val="24"/>
          <w:szCs w:val="24"/>
        </w:rPr>
        <w:t>ribunal</w:t>
      </w:r>
      <w:r w:rsidR="00403D13" w:rsidRPr="00085953">
        <w:rPr>
          <w:rFonts w:ascii="Arial" w:hAnsi="Arial" w:cs="Arial"/>
          <w:sz w:val="24"/>
          <w:szCs w:val="24"/>
        </w:rPr>
        <w:t>,</w:t>
      </w:r>
      <w:r w:rsidR="00CA1B3E" w:rsidRPr="00085953">
        <w:rPr>
          <w:rFonts w:ascii="Arial" w:hAnsi="Arial" w:cs="Arial"/>
          <w:sz w:val="24"/>
          <w:szCs w:val="24"/>
        </w:rPr>
        <w:t xml:space="preserve"> </w:t>
      </w:r>
      <w:r w:rsidR="00AC2518" w:rsidRPr="00085953">
        <w:rPr>
          <w:rFonts w:ascii="Arial" w:hAnsi="Arial" w:cs="Arial"/>
          <w:sz w:val="24"/>
          <w:szCs w:val="24"/>
        </w:rPr>
        <w:t>in finding</w:t>
      </w:r>
      <w:r w:rsidR="00CA1B3E" w:rsidRPr="00085953">
        <w:rPr>
          <w:rFonts w:ascii="Arial" w:hAnsi="Arial" w:cs="Arial"/>
          <w:sz w:val="24"/>
          <w:szCs w:val="24"/>
        </w:rPr>
        <w:t xml:space="preserve"> that </w:t>
      </w:r>
      <w:r w:rsidR="00B91702" w:rsidRPr="00085953">
        <w:rPr>
          <w:rFonts w:ascii="Arial" w:hAnsi="Arial" w:cs="Arial"/>
          <w:sz w:val="24"/>
          <w:szCs w:val="24"/>
        </w:rPr>
        <w:t>the Appellant</w:t>
      </w:r>
      <w:r w:rsidR="00CA1B3E" w:rsidRPr="00085953">
        <w:rPr>
          <w:rFonts w:ascii="Arial" w:hAnsi="Arial" w:cs="Arial"/>
          <w:sz w:val="24"/>
          <w:szCs w:val="24"/>
        </w:rPr>
        <w:t xml:space="preserve"> would be able to take </w:t>
      </w:r>
      <w:r w:rsidR="00B91702" w:rsidRPr="00085953">
        <w:rPr>
          <w:rFonts w:ascii="Arial" w:hAnsi="Arial" w:cs="Arial"/>
          <w:sz w:val="24"/>
          <w:szCs w:val="24"/>
        </w:rPr>
        <w:t>part</w:t>
      </w:r>
      <w:r w:rsidR="00CA1B3E" w:rsidRPr="00085953">
        <w:rPr>
          <w:rFonts w:ascii="Arial" w:hAnsi="Arial" w:cs="Arial"/>
          <w:sz w:val="24"/>
          <w:szCs w:val="24"/>
        </w:rPr>
        <w:t xml:space="preserve"> in </w:t>
      </w:r>
      <w:r w:rsidR="00FC0B63" w:rsidRPr="00085953">
        <w:rPr>
          <w:rFonts w:ascii="Arial" w:hAnsi="Arial" w:cs="Arial"/>
          <w:sz w:val="24"/>
          <w:szCs w:val="24"/>
        </w:rPr>
        <w:t>work-related</w:t>
      </w:r>
      <w:r w:rsidR="00CA1B3E" w:rsidRPr="00085953">
        <w:rPr>
          <w:rFonts w:ascii="Arial" w:hAnsi="Arial" w:cs="Arial"/>
          <w:sz w:val="24"/>
          <w:szCs w:val="24"/>
        </w:rPr>
        <w:t xml:space="preserve"> activity</w:t>
      </w:r>
      <w:r w:rsidR="00403D13" w:rsidRPr="00085953">
        <w:rPr>
          <w:rFonts w:ascii="Arial" w:hAnsi="Arial" w:cs="Arial"/>
          <w:sz w:val="24"/>
          <w:szCs w:val="24"/>
        </w:rPr>
        <w:t>,</w:t>
      </w:r>
      <w:r w:rsidR="00B47C03" w:rsidRPr="00085953">
        <w:rPr>
          <w:rFonts w:ascii="Arial" w:hAnsi="Arial" w:cs="Arial"/>
          <w:sz w:val="24"/>
          <w:szCs w:val="24"/>
        </w:rPr>
        <w:t xml:space="preserve"> failed adequately to </w:t>
      </w:r>
      <w:r w:rsidR="00B91702" w:rsidRPr="00085953">
        <w:rPr>
          <w:rFonts w:ascii="Arial" w:hAnsi="Arial" w:cs="Arial"/>
          <w:sz w:val="24"/>
          <w:szCs w:val="24"/>
        </w:rPr>
        <w:t>consider</w:t>
      </w:r>
      <w:r w:rsidR="00B47C03" w:rsidRPr="00085953">
        <w:rPr>
          <w:rFonts w:ascii="Arial" w:hAnsi="Arial" w:cs="Arial"/>
          <w:sz w:val="24"/>
          <w:szCs w:val="24"/>
        </w:rPr>
        <w:t xml:space="preserve"> risk in the </w:t>
      </w:r>
      <w:r w:rsidR="00AC2518" w:rsidRPr="00085953">
        <w:rPr>
          <w:rFonts w:ascii="Arial" w:hAnsi="Arial" w:cs="Arial"/>
          <w:sz w:val="24"/>
          <w:szCs w:val="24"/>
        </w:rPr>
        <w:t>light</w:t>
      </w:r>
      <w:r w:rsidR="00B47C03" w:rsidRPr="00085953">
        <w:rPr>
          <w:rFonts w:ascii="Arial" w:hAnsi="Arial" w:cs="Arial"/>
          <w:sz w:val="24"/>
          <w:szCs w:val="24"/>
        </w:rPr>
        <w:t xml:space="preserve"> of </w:t>
      </w:r>
      <w:r w:rsidR="00B91702" w:rsidRPr="00085953">
        <w:rPr>
          <w:rFonts w:ascii="Arial" w:hAnsi="Arial" w:cs="Arial"/>
          <w:sz w:val="24"/>
          <w:szCs w:val="24"/>
        </w:rPr>
        <w:t>its</w:t>
      </w:r>
      <w:r w:rsidR="00B47C03" w:rsidRPr="00085953">
        <w:rPr>
          <w:rFonts w:ascii="Arial" w:hAnsi="Arial" w:cs="Arial"/>
          <w:sz w:val="24"/>
          <w:szCs w:val="24"/>
        </w:rPr>
        <w:t xml:space="preserve"> </w:t>
      </w:r>
      <w:r w:rsidR="00EA484B" w:rsidRPr="00085953">
        <w:rPr>
          <w:rFonts w:ascii="Arial" w:hAnsi="Arial" w:cs="Arial"/>
          <w:sz w:val="24"/>
          <w:szCs w:val="24"/>
        </w:rPr>
        <w:t>own</w:t>
      </w:r>
      <w:r w:rsidR="00B47C03" w:rsidRPr="00085953">
        <w:rPr>
          <w:rFonts w:ascii="Arial" w:hAnsi="Arial" w:cs="Arial"/>
          <w:sz w:val="24"/>
          <w:szCs w:val="24"/>
        </w:rPr>
        <w:t xml:space="preserve"> earlier </w:t>
      </w:r>
      <w:r w:rsidR="001E583C" w:rsidRPr="00085953">
        <w:rPr>
          <w:rFonts w:ascii="Arial" w:hAnsi="Arial" w:cs="Arial"/>
          <w:sz w:val="24"/>
          <w:szCs w:val="24"/>
        </w:rPr>
        <w:t>findings</w:t>
      </w:r>
      <w:r w:rsidR="00B47C03" w:rsidRPr="00085953">
        <w:rPr>
          <w:rFonts w:ascii="Arial" w:hAnsi="Arial" w:cs="Arial"/>
          <w:sz w:val="24"/>
          <w:szCs w:val="24"/>
        </w:rPr>
        <w:t>.</w:t>
      </w:r>
    </w:p>
    <w:p w14:paraId="2FCC7FB6" w14:textId="77777777" w:rsidR="007167B2" w:rsidRPr="00085953" w:rsidRDefault="007167B2" w:rsidP="00D5437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34C37B7" w14:textId="143004A5" w:rsidR="0056001B"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6.</w:t>
      </w:r>
      <w:r>
        <w:rPr>
          <w:rFonts w:ascii="Arial" w:hAnsi="Arial" w:cs="Arial"/>
          <w:sz w:val="24"/>
          <w:szCs w:val="24"/>
        </w:rPr>
        <w:tab/>
      </w:r>
      <w:r w:rsidR="00930B54" w:rsidRPr="00085953">
        <w:rPr>
          <w:rFonts w:ascii="Arial" w:hAnsi="Arial" w:cs="Arial"/>
          <w:sz w:val="24"/>
          <w:szCs w:val="24"/>
        </w:rPr>
        <w:t xml:space="preserve">In the usual way, the </w:t>
      </w:r>
      <w:r w:rsidR="006B545A" w:rsidRPr="00085953">
        <w:rPr>
          <w:rFonts w:ascii="Arial" w:hAnsi="Arial" w:cs="Arial"/>
          <w:sz w:val="24"/>
          <w:szCs w:val="24"/>
        </w:rPr>
        <w:t>comments</w:t>
      </w:r>
      <w:r w:rsidR="00930B54" w:rsidRPr="00085953">
        <w:rPr>
          <w:rFonts w:ascii="Arial" w:hAnsi="Arial" w:cs="Arial"/>
          <w:sz w:val="24"/>
          <w:szCs w:val="24"/>
        </w:rPr>
        <w:t xml:space="preserve"> of the Department were invited on the application.  These were provided by </w:t>
      </w:r>
      <w:r w:rsidR="005030BD" w:rsidRPr="00085953">
        <w:rPr>
          <w:rFonts w:ascii="Arial" w:hAnsi="Arial" w:cs="Arial"/>
          <w:sz w:val="24"/>
          <w:szCs w:val="24"/>
        </w:rPr>
        <w:t>Matthew Woods</w:t>
      </w:r>
      <w:r w:rsidR="00930B54" w:rsidRPr="00085953">
        <w:rPr>
          <w:rFonts w:ascii="Arial" w:hAnsi="Arial" w:cs="Arial"/>
          <w:sz w:val="24"/>
          <w:szCs w:val="24"/>
        </w:rPr>
        <w:t xml:space="preserve">, who by a </w:t>
      </w:r>
      <w:r w:rsidR="006B545A" w:rsidRPr="00085953">
        <w:rPr>
          <w:rFonts w:ascii="Arial" w:hAnsi="Arial" w:cs="Arial"/>
          <w:sz w:val="24"/>
          <w:szCs w:val="24"/>
        </w:rPr>
        <w:lastRenderedPageBreak/>
        <w:t>submission</w:t>
      </w:r>
      <w:r w:rsidR="00930B54" w:rsidRPr="00085953">
        <w:rPr>
          <w:rFonts w:ascii="Arial" w:hAnsi="Arial" w:cs="Arial"/>
          <w:sz w:val="24"/>
          <w:szCs w:val="24"/>
        </w:rPr>
        <w:t xml:space="preserve"> da</w:t>
      </w:r>
      <w:r w:rsidR="006B545A" w:rsidRPr="00085953">
        <w:rPr>
          <w:rFonts w:ascii="Arial" w:hAnsi="Arial" w:cs="Arial"/>
          <w:sz w:val="24"/>
          <w:szCs w:val="24"/>
        </w:rPr>
        <w:t>t</w:t>
      </w:r>
      <w:r w:rsidR="00930B54" w:rsidRPr="00085953">
        <w:rPr>
          <w:rFonts w:ascii="Arial" w:hAnsi="Arial" w:cs="Arial"/>
          <w:sz w:val="24"/>
          <w:szCs w:val="24"/>
        </w:rPr>
        <w:t>ed</w:t>
      </w:r>
      <w:r w:rsidR="006B545A" w:rsidRPr="00085953">
        <w:rPr>
          <w:rFonts w:ascii="Arial" w:hAnsi="Arial" w:cs="Arial"/>
          <w:sz w:val="24"/>
          <w:szCs w:val="24"/>
        </w:rPr>
        <w:t xml:space="preserve"> </w:t>
      </w:r>
      <w:r w:rsidR="00005A65" w:rsidRPr="00085953">
        <w:rPr>
          <w:rFonts w:ascii="Arial" w:hAnsi="Arial" w:cs="Arial"/>
          <w:sz w:val="24"/>
          <w:szCs w:val="24"/>
        </w:rPr>
        <w:t xml:space="preserve">16 October </w:t>
      </w:r>
      <w:r w:rsidR="00930B54" w:rsidRPr="00085953">
        <w:rPr>
          <w:rFonts w:ascii="Arial" w:hAnsi="Arial" w:cs="Arial"/>
          <w:sz w:val="24"/>
          <w:szCs w:val="24"/>
        </w:rPr>
        <w:t xml:space="preserve">2024 </w:t>
      </w:r>
      <w:r w:rsidR="00005A65" w:rsidRPr="00085953">
        <w:rPr>
          <w:rFonts w:ascii="Arial" w:hAnsi="Arial" w:cs="Arial"/>
          <w:sz w:val="24"/>
          <w:szCs w:val="24"/>
        </w:rPr>
        <w:t>supported the app</w:t>
      </w:r>
      <w:r w:rsidR="008410FA" w:rsidRPr="00085953">
        <w:rPr>
          <w:rFonts w:ascii="Arial" w:hAnsi="Arial" w:cs="Arial"/>
          <w:sz w:val="24"/>
          <w:szCs w:val="24"/>
        </w:rPr>
        <w:t>lication</w:t>
      </w:r>
      <w:r w:rsidR="00005A65" w:rsidRPr="00085953">
        <w:rPr>
          <w:rFonts w:ascii="Arial" w:hAnsi="Arial" w:cs="Arial"/>
          <w:sz w:val="24"/>
          <w:szCs w:val="24"/>
        </w:rPr>
        <w:t xml:space="preserve"> on three of the four </w:t>
      </w:r>
      <w:r w:rsidR="00CE08FC" w:rsidRPr="00085953">
        <w:rPr>
          <w:rFonts w:ascii="Arial" w:hAnsi="Arial" w:cs="Arial"/>
          <w:sz w:val="24"/>
          <w:szCs w:val="24"/>
        </w:rPr>
        <w:t>sub-</w:t>
      </w:r>
      <w:r w:rsidR="00005A65" w:rsidRPr="00085953">
        <w:rPr>
          <w:rFonts w:ascii="Arial" w:hAnsi="Arial" w:cs="Arial"/>
          <w:sz w:val="24"/>
          <w:szCs w:val="24"/>
        </w:rPr>
        <w:t>grounds advanced</w:t>
      </w:r>
      <w:r w:rsidR="007E60C6" w:rsidRPr="00085953">
        <w:rPr>
          <w:rFonts w:ascii="Arial" w:hAnsi="Arial" w:cs="Arial"/>
          <w:sz w:val="24"/>
          <w:szCs w:val="24"/>
        </w:rPr>
        <w:t xml:space="preserve">. </w:t>
      </w:r>
      <w:r>
        <w:rPr>
          <w:rFonts w:ascii="Arial" w:hAnsi="Arial" w:cs="Arial"/>
          <w:sz w:val="24"/>
          <w:szCs w:val="24"/>
        </w:rPr>
        <w:t xml:space="preserve"> </w:t>
      </w:r>
      <w:r w:rsidR="007E60C6" w:rsidRPr="00085953">
        <w:rPr>
          <w:rFonts w:ascii="Arial" w:hAnsi="Arial" w:cs="Arial"/>
          <w:sz w:val="24"/>
          <w:szCs w:val="24"/>
        </w:rPr>
        <w:t>He indicated</w:t>
      </w:r>
      <w:r w:rsidR="00930B54" w:rsidRPr="00085953">
        <w:rPr>
          <w:rFonts w:ascii="Arial" w:hAnsi="Arial" w:cs="Arial"/>
          <w:sz w:val="24"/>
          <w:szCs w:val="24"/>
        </w:rPr>
        <w:t xml:space="preserve"> that h</w:t>
      </w:r>
      <w:r w:rsidR="002E38E2" w:rsidRPr="00085953">
        <w:rPr>
          <w:rFonts w:ascii="Arial" w:hAnsi="Arial" w:cs="Arial"/>
          <w:sz w:val="24"/>
          <w:szCs w:val="24"/>
        </w:rPr>
        <w:t>is</w:t>
      </w:r>
      <w:r w:rsidR="00930B54" w:rsidRPr="00085953">
        <w:rPr>
          <w:rFonts w:ascii="Arial" w:hAnsi="Arial" w:cs="Arial"/>
          <w:sz w:val="24"/>
          <w:szCs w:val="24"/>
        </w:rPr>
        <w:t xml:space="preserve"> submissions on the </w:t>
      </w:r>
      <w:r w:rsidR="006B545A" w:rsidRPr="00085953">
        <w:rPr>
          <w:rFonts w:ascii="Arial" w:hAnsi="Arial" w:cs="Arial"/>
          <w:sz w:val="24"/>
          <w:szCs w:val="24"/>
        </w:rPr>
        <w:t>application</w:t>
      </w:r>
      <w:r w:rsidR="00930B54" w:rsidRPr="00085953">
        <w:rPr>
          <w:rFonts w:ascii="Arial" w:hAnsi="Arial" w:cs="Arial"/>
          <w:sz w:val="24"/>
          <w:szCs w:val="24"/>
        </w:rPr>
        <w:t xml:space="preserve"> for </w:t>
      </w:r>
      <w:r w:rsidR="006B545A" w:rsidRPr="00085953">
        <w:rPr>
          <w:rFonts w:ascii="Arial" w:hAnsi="Arial" w:cs="Arial"/>
          <w:sz w:val="24"/>
          <w:szCs w:val="24"/>
        </w:rPr>
        <w:t>leave</w:t>
      </w:r>
      <w:r w:rsidR="00930B54" w:rsidRPr="00085953">
        <w:rPr>
          <w:rFonts w:ascii="Arial" w:hAnsi="Arial" w:cs="Arial"/>
          <w:sz w:val="24"/>
          <w:szCs w:val="24"/>
        </w:rPr>
        <w:t xml:space="preserve"> </w:t>
      </w:r>
      <w:r w:rsidR="00CE08FC" w:rsidRPr="00085953">
        <w:rPr>
          <w:rFonts w:ascii="Arial" w:hAnsi="Arial" w:cs="Arial"/>
          <w:sz w:val="24"/>
          <w:szCs w:val="24"/>
        </w:rPr>
        <w:t>could</w:t>
      </w:r>
      <w:r w:rsidR="00930B54" w:rsidRPr="00085953">
        <w:rPr>
          <w:rFonts w:ascii="Arial" w:hAnsi="Arial" w:cs="Arial"/>
          <w:sz w:val="24"/>
          <w:szCs w:val="24"/>
        </w:rPr>
        <w:t xml:space="preserve"> be </w:t>
      </w:r>
      <w:r w:rsidR="006B545A" w:rsidRPr="00085953">
        <w:rPr>
          <w:rFonts w:ascii="Arial" w:hAnsi="Arial" w:cs="Arial"/>
          <w:sz w:val="24"/>
          <w:szCs w:val="24"/>
        </w:rPr>
        <w:t xml:space="preserve">treated </w:t>
      </w:r>
      <w:r w:rsidR="00930B54" w:rsidRPr="00085953">
        <w:rPr>
          <w:rFonts w:ascii="Arial" w:hAnsi="Arial" w:cs="Arial"/>
          <w:sz w:val="24"/>
          <w:szCs w:val="24"/>
        </w:rPr>
        <w:t xml:space="preserve">as observations on the appeal under </w:t>
      </w:r>
      <w:r w:rsidR="006B545A" w:rsidRPr="00085953">
        <w:rPr>
          <w:rFonts w:ascii="Arial" w:hAnsi="Arial" w:cs="Arial"/>
          <w:sz w:val="24"/>
          <w:szCs w:val="24"/>
        </w:rPr>
        <w:t>regulation</w:t>
      </w:r>
      <w:r w:rsidR="00930B54" w:rsidRPr="00085953">
        <w:rPr>
          <w:rFonts w:ascii="Arial" w:hAnsi="Arial" w:cs="Arial"/>
          <w:sz w:val="24"/>
          <w:szCs w:val="24"/>
        </w:rPr>
        <w:t xml:space="preserve"> 18(1) of the Social Security </w:t>
      </w:r>
      <w:r w:rsidR="006B545A" w:rsidRPr="00085953">
        <w:rPr>
          <w:rFonts w:ascii="Arial" w:hAnsi="Arial" w:cs="Arial"/>
          <w:sz w:val="24"/>
          <w:szCs w:val="24"/>
        </w:rPr>
        <w:t>Commissioners</w:t>
      </w:r>
      <w:r w:rsidR="00930B54" w:rsidRPr="00085953">
        <w:rPr>
          <w:rFonts w:ascii="Arial" w:hAnsi="Arial" w:cs="Arial"/>
          <w:sz w:val="24"/>
          <w:szCs w:val="24"/>
        </w:rPr>
        <w:t xml:space="preserve"> (Procedure) </w:t>
      </w:r>
      <w:r w:rsidR="006B545A" w:rsidRPr="00085953">
        <w:rPr>
          <w:rFonts w:ascii="Arial" w:hAnsi="Arial" w:cs="Arial"/>
          <w:sz w:val="24"/>
          <w:szCs w:val="24"/>
        </w:rPr>
        <w:t>Regulations</w:t>
      </w:r>
      <w:r w:rsidR="00930B54" w:rsidRPr="00085953">
        <w:rPr>
          <w:rFonts w:ascii="Arial" w:hAnsi="Arial" w:cs="Arial"/>
          <w:sz w:val="24"/>
          <w:szCs w:val="24"/>
        </w:rPr>
        <w:t xml:space="preserve"> (Northern Ireland) 1999.</w:t>
      </w:r>
    </w:p>
    <w:p w14:paraId="2E025613" w14:textId="77777777" w:rsidR="0056001B" w:rsidRPr="00085953" w:rsidRDefault="0056001B" w:rsidP="00D5437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AACF4A4" w14:textId="7EB1C562" w:rsidR="0056001B"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7.</w:t>
      </w:r>
      <w:r>
        <w:rPr>
          <w:rFonts w:ascii="Arial" w:hAnsi="Arial" w:cs="Arial"/>
          <w:sz w:val="24"/>
          <w:szCs w:val="24"/>
        </w:rPr>
        <w:tab/>
      </w:r>
      <w:r w:rsidR="00CE08FC" w:rsidRPr="00085953">
        <w:rPr>
          <w:rFonts w:ascii="Arial" w:hAnsi="Arial" w:cs="Arial"/>
          <w:sz w:val="24"/>
          <w:szCs w:val="24"/>
        </w:rPr>
        <w:t>The Appellant had scored 27 points, but without</w:t>
      </w:r>
      <w:r w:rsidR="009A7182" w:rsidRPr="00085953">
        <w:rPr>
          <w:rFonts w:ascii="Arial" w:hAnsi="Arial" w:cs="Arial"/>
          <w:sz w:val="24"/>
          <w:szCs w:val="24"/>
        </w:rPr>
        <w:t xml:space="preserve"> meeting any </w:t>
      </w:r>
      <w:r w:rsidR="008410FA" w:rsidRPr="00085953">
        <w:rPr>
          <w:rFonts w:ascii="Arial" w:hAnsi="Arial" w:cs="Arial"/>
          <w:sz w:val="24"/>
          <w:szCs w:val="24"/>
        </w:rPr>
        <w:t>o</w:t>
      </w:r>
      <w:r w:rsidR="009A7182" w:rsidRPr="00085953">
        <w:rPr>
          <w:rFonts w:ascii="Arial" w:hAnsi="Arial" w:cs="Arial"/>
          <w:sz w:val="24"/>
          <w:szCs w:val="24"/>
        </w:rPr>
        <w:t>f the descript</w:t>
      </w:r>
      <w:r w:rsidR="008410FA" w:rsidRPr="00085953">
        <w:rPr>
          <w:rFonts w:ascii="Arial" w:hAnsi="Arial" w:cs="Arial"/>
          <w:sz w:val="24"/>
          <w:szCs w:val="24"/>
        </w:rPr>
        <w:t>or</w:t>
      </w:r>
      <w:r w:rsidR="009A7182" w:rsidRPr="00085953">
        <w:rPr>
          <w:rFonts w:ascii="Arial" w:hAnsi="Arial" w:cs="Arial"/>
          <w:sz w:val="24"/>
          <w:szCs w:val="24"/>
        </w:rPr>
        <w:t xml:space="preserve">s in </w:t>
      </w:r>
      <w:r w:rsidR="00B91702" w:rsidRPr="00085953">
        <w:rPr>
          <w:rFonts w:ascii="Arial" w:hAnsi="Arial" w:cs="Arial"/>
          <w:sz w:val="24"/>
          <w:szCs w:val="24"/>
        </w:rPr>
        <w:t>Schedule</w:t>
      </w:r>
      <w:r w:rsidR="009A7182" w:rsidRPr="00085953">
        <w:rPr>
          <w:rFonts w:ascii="Arial" w:hAnsi="Arial" w:cs="Arial"/>
          <w:sz w:val="24"/>
          <w:szCs w:val="24"/>
        </w:rPr>
        <w:t xml:space="preserve"> </w:t>
      </w:r>
      <w:r w:rsidR="008B4D1E" w:rsidRPr="00085953">
        <w:rPr>
          <w:rFonts w:ascii="Arial" w:hAnsi="Arial" w:cs="Arial"/>
          <w:sz w:val="24"/>
          <w:szCs w:val="24"/>
        </w:rPr>
        <w:t xml:space="preserve">7 of the </w:t>
      </w:r>
      <w:r w:rsidR="00B75C39" w:rsidRPr="00085953">
        <w:rPr>
          <w:rFonts w:ascii="Arial" w:hAnsi="Arial" w:cs="Arial"/>
          <w:sz w:val="24"/>
          <w:szCs w:val="24"/>
        </w:rPr>
        <w:t xml:space="preserve">Universal Credit </w:t>
      </w:r>
      <w:r w:rsidR="00B91702" w:rsidRPr="00085953">
        <w:rPr>
          <w:rFonts w:ascii="Arial" w:hAnsi="Arial" w:cs="Arial"/>
          <w:sz w:val="24"/>
          <w:szCs w:val="24"/>
        </w:rPr>
        <w:t>Regulations</w:t>
      </w:r>
      <w:r w:rsidR="00B75C39" w:rsidRPr="00085953">
        <w:rPr>
          <w:rFonts w:ascii="Arial" w:hAnsi="Arial" w:cs="Arial"/>
          <w:sz w:val="24"/>
          <w:szCs w:val="24"/>
        </w:rPr>
        <w:t xml:space="preserve"> (</w:t>
      </w:r>
      <w:r w:rsidR="00EA484B" w:rsidRPr="00085953">
        <w:rPr>
          <w:rFonts w:ascii="Arial" w:hAnsi="Arial" w:cs="Arial"/>
          <w:sz w:val="24"/>
          <w:szCs w:val="24"/>
        </w:rPr>
        <w:t>Northern</w:t>
      </w:r>
      <w:r w:rsidR="00B75C39" w:rsidRPr="00085953">
        <w:rPr>
          <w:rFonts w:ascii="Arial" w:hAnsi="Arial" w:cs="Arial"/>
          <w:sz w:val="24"/>
          <w:szCs w:val="24"/>
        </w:rPr>
        <w:t xml:space="preserve"> Ireland) 2016/216</w:t>
      </w:r>
      <w:r w:rsidR="009A7182" w:rsidRPr="00085953">
        <w:rPr>
          <w:rFonts w:ascii="Arial" w:hAnsi="Arial" w:cs="Arial"/>
          <w:sz w:val="24"/>
          <w:szCs w:val="24"/>
        </w:rPr>
        <w:t xml:space="preserve"> which would hav</w:t>
      </w:r>
      <w:r w:rsidR="00B7710D" w:rsidRPr="00085953">
        <w:rPr>
          <w:rFonts w:ascii="Arial" w:hAnsi="Arial" w:cs="Arial"/>
          <w:sz w:val="24"/>
          <w:szCs w:val="24"/>
        </w:rPr>
        <w:t xml:space="preserve">e resulted in her </w:t>
      </w:r>
      <w:r w:rsidR="00B91702" w:rsidRPr="00085953">
        <w:rPr>
          <w:rFonts w:ascii="Arial" w:hAnsi="Arial" w:cs="Arial"/>
          <w:sz w:val="24"/>
          <w:szCs w:val="24"/>
        </w:rPr>
        <w:t>being</w:t>
      </w:r>
      <w:r w:rsidR="00B7710D" w:rsidRPr="00085953">
        <w:rPr>
          <w:rFonts w:ascii="Arial" w:hAnsi="Arial" w:cs="Arial"/>
          <w:sz w:val="24"/>
          <w:szCs w:val="24"/>
        </w:rPr>
        <w:t xml:space="preserve"> found to have </w:t>
      </w:r>
      <w:r w:rsidR="006A37BE" w:rsidRPr="00085953">
        <w:rPr>
          <w:rFonts w:ascii="Arial" w:hAnsi="Arial" w:cs="Arial"/>
          <w:sz w:val="24"/>
          <w:szCs w:val="24"/>
        </w:rPr>
        <w:t>LCWRA.</w:t>
      </w:r>
    </w:p>
    <w:p w14:paraId="4831F3F8" w14:textId="77777777" w:rsidR="0056001B" w:rsidRPr="00085953" w:rsidRDefault="0056001B" w:rsidP="00D54373">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3F695A5E" w14:textId="74CE4DB8" w:rsidR="0056001B" w:rsidRPr="00085953" w:rsidRDefault="00D54373" w:rsidP="00D54373">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8.</w:t>
      </w:r>
      <w:r>
        <w:rPr>
          <w:rFonts w:ascii="Arial" w:hAnsi="Arial" w:cs="Arial"/>
          <w:sz w:val="24"/>
          <w:szCs w:val="24"/>
        </w:rPr>
        <w:tab/>
      </w:r>
      <w:r w:rsidR="00B91702" w:rsidRPr="00085953">
        <w:rPr>
          <w:rFonts w:ascii="Arial" w:hAnsi="Arial" w:cs="Arial"/>
          <w:sz w:val="24"/>
          <w:szCs w:val="24"/>
        </w:rPr>
        <w:t>Accordingly</w:t>
      </w:r>
      <w:r w:rsidR="006A37BE" w:rsidRPr="00085953">
        <w:rPr>
          <w:rFonts w:ascii="Arial" w:hAnsi="Arial" w:cs="Arial"/>
          <w:sz w:val="24"/>
          <w:szCs w:val="24"/>
        </w:rPr>
        <w:t>, the issue was whether she could me</w:t>
      </w:r>
      <w:r w:rsidR="005C2EF0" w:rsidRPr="00085953">
        <w:rPr>
          <w:rFonts w:ascii="Arial" w:hAnsi="Arial" w:cs="Arial"/>
          <w:sz w:val="24"/>
          <w:szCs w:val="24"/>
        </w:rPr>
        <w:t>e</w:t>
      </w:r>
      <w:r w:rsidR="006A37BE" w:rsidRPr="00085953">
        <w:rPr>
          <w:rFonts w:ascii="Arial" w:hAnsi="Arial" w:cs="Arial"/>
          <w:sz w:val="24"/>
          <w:szCs w:val="24"/>
        </w:rPr>
        <w:t xml:space="preserve">t </w:t>
      </w:r>
      <w:r w:rsidR="00706F62" w:rsidRPr="00085953">
        <w:rPr>
          <w:rFonts w:ascii="Arial" w:hAnsi="Arial" w:cs="Arial"/>
          <w:sz w:val="24"/>
          <w:szCs w:val="24"/>
        </w:rPr>
        <w:t>Schedule</w:t>
      </w:r>
      <w:r w:rsidR="004F4D5E" w:rsidRPr="00085953">
        <w:rPr>
          <w:rFonts w:ascii="Arial" w:hAnsi="Arial" w:cs="Arial"/>
          <w:sz w:val="24"/>
          <w:szCs w:val="24"/>
        </w:rPr>
        <w:t xml:space="preserve"> </w:t>
      </w:r>
      <w:r w:rsidR="00706F62" w:rsidRPr="00085953">
        <w:rPr>
          <w:rFonts w:ascii="Arial" w:hAnsi="Arial" w:cs="Arial"/>
          <w:sz w:val="24"/>
          <w:szCs w:val="24"/>
        </w:rPr>
        <w:t xml:space="preserve">9, para 4 </w:t>
      </w:r>
      <w:r w:rsidR="00B75C39" w:rsidRPr="00085953">
        <w:rPr>
          <w:rFonts w:ascii="Arial" w:hAnsi="Arial" w:cs="Arial"/>
          <w:sz w:val="24"/>
          <w:szCs w:val="24"/>
        </w:rPr>
        <w:t xml:space="preserve">of </w:t>
      </w:r>
      <w:r w:rsidR="000D3C0D" w:rsidRPr="00085953">
        <w:rPr>
          <w:rFonts w:ascii="Arial" w:hAnsi="Arial" w:cs="Arial"/>
          <w:sz w:val="24"/>
          <w:szCs w:val="24"/>
        </w:rPr>
        <w:t>the Regulations</w:t>
      </w:r>
      <w:r w:rsidR="005C2EF0" w:rsidRPr="00085953">
        <w:rPr>
          <w:rFonts w:ascii="Arial" w:hAnsi="Arial" w:cs="Arial"/>
          <w:sz w:val="24"/>
          <w:szCs w:val="24"/>
        </w:rPr>
        <w:t>,</w:t>
      </w:r>
      <w:r w:rsidR="00EE603E" w:rsidRPr="00085953">
        <w:rPr>
          <w:rFonts w:ascii="Arial" w:hAnsi="Arial" w:cs="Arial"/>
          <w:sz w:val="24"/>
          <w:szCs w:val="24"/>
        </w:rPr>
        <w:t xml:space="preserve"> which </w:t>
      </w:r>
      <w:r w:rsidR="00EA484B" w:rsidRPr="00085953">
        <w:rPr>
          <w:rFonts w:ascii="Arial" w:hAnsi="Arial" w:cs="Arial"/>
          <w:sz w:val="24"/>
          <w:szCs w:val="24"/>
        </w:rPr>
        <w:t>provides</w:t>
      </w:r>
      <w:r w:rsidR="00EE603E" w:rsidRPr="00085953">
        <w:rPr>
          <w:rFonts w:ascii="Arial" w:hAnsi="Arial" w:cs="Arial"/>
          <w:sz w:val="24"/>
          <w:szCs w:val="24"/>
        </w:rPr>
        <w:t xml:space="preserve"> that a claimant may be treated as </w:t>
      </w:r>
      <w:r w:rsidR="000D3C0D" w:rsidRPr="00085953">
        <w:rPr>
          <w:rFonts w:ascii="Arial" w:hAnsi="Arial" w:cs="Arial"/>
          <w:sz w:val="24"/>
          <w:szCs w:val="24"/>
        </w:rPr>
        <w:t>having</w:t>
      </w:r>
      <w:r w:rsidR="00EE603E" w:rsidRPr="00085953">
        <w:rPr>
          <w:rFonts w:ascii="Arial" w:hAnsi="Arial" w:cs="Arial"/>
          <w:sz w:val="24"/>
          <w:szCs w:val="24"/>
        </w:rPr>
        <w:t xml:space="preserve"> LCW</w:t>
      </w:r>
      <w:r w:rsidR="005C2EF0" w:rsidRPr="00085953">
        <w:rPr>
          <w:rFonts w:ascii="Arial" w:hAnsi="Arial" w:cs="Arial"/>
          <w:sz w:val="24"/>
          <w:szCs w:val="24"/>
        </w:rPr>
        <w:t>R</w:t>
      </w:r>
      <w:r w:rsidR="00EE603E" w:rsidRPr="00085953">
        <w:rPr>
          <w:rFonts w:ascii="Arial" w:hAnsi="Arial" w:cs="Arial"/>
          <w:sz w:val="24"/>
          <w:szCs w:val="24"/>
        </w:rPr>
        <w:t>A</w:t>
      </w:r>
      <w:r w:rsidR="00DA066D" w:rsidRPr="00085953">
        <w:rPr>
          <w:rFonts w:ascii="Arial" w:hAnsi="Arial" w:cs="Arial"/>
          <w:sz w:val="24"/>
          <w:szCs w:val="24"/>
        </w:rPr>
        <w:t xml:space="preserve"> where:</w:t>
      </w:r>
    </w:p>
    <w:p w14:paraId="47BCA9DB" w14:textId="77777777" w:rsidR="0056001B" w:rsidRPr="00085953" w:rsidRDefault="0056001B" w:rsidP="00D54373">
      <w:pPr>
        <w:pStyle w:val="ListParagraph"/>
        <w:tabs>
          <w:tab w:val="left" w:pos="510"/>
          <w:tab w:val="left" w:pos="1077"/>
          <w:tab w:val="left" w:pos="1797"/>
        </w:tabs>
        <w:spacing w:after="0" w:line="240" w:lineRule="auto"/>
        <w:ind w:left="0"/>
        <w:rPr>
          <w:rFonts w:ascii="Arial" w:hAnsi="Arial" w:cs="Arial"/>
          <w:sz w:val="24"/>
          <w:szCs w:val="24"/>
        </w:rPr>
      </w:pPr>
    </w:p>
    <w:p w14:paraId="2BCD0B01" w14:textId="77777777" w:rsidR="0056001B" w:rsidRPr="00085953" w:rsidRDefault="005C2EF0" w:rsidP="00350B2A">
      <w:pPr>
        <w:tabs>
          <w:tab w:val="left" w:pos="510"/>
          <w:tab w:val="left" w:pos="1077"/>
          <w:tab w:val="left" w:pos="1797"/>
        </w:tabs>
        <w:spacing w:after="0" w:line="240" w:lineRule="auto"/>
        <w:ind w:left="1077" w:right="1077"/>
        <w:jc w:val="both"/>
        <w:rPr>
          <w:rFonts w:ascii="Arial" w:hAnsi="Arial" w:cs="Arial"/>
          <w:sz w:val="24"/>
          <w:szCs w:val="24"/>
        </w:rPr>
      </w:pPr>
      <w:r w:rsidRPr="00085953">
        <w:rPr>
          <w:rFonts w:ascii="Arial" w:hAnsi="Arial" w:cs="Arial"/>
          <w:sz w:val="24"/>
          <w:szCs w:val="24"/>
        </w:rPr>
        <w:t>“</w:t>
      </w:r>
      <w:r w:rsidR="00FF181A" w:rsidRPr="00085953">
        <w:rPr>
          <w:rFonts w:ascii="Arial" w:hAnsi="Arial" w:cs="Arial"/>
          <w:sz w:val="24"/>
          <w:szCs w:val="24"/>
        </w:rPr>
        <w:t>The claimant is suffering from a specific illness, disease or disablement by reason of which there would be a substantial risk to the physical or mental health of any person were the claimant found not to have limited capability for work and work-related activity.</w:t>
      </w:r>
      <w:r w:rsidRPr="00085953">
        <w:rPr>
          <w:rFonts w:ascii="Arial" w:hAnsi="Arial" w:cs="Arial"/>
          <w:sz w:val="24"/>
          <w:szCs w:val="24"/>
        </w:rPr>
        <w:t>”</w:t>
      </w:r>
    </w:p>
    <w:p w14:paraId="742BF409" w14:textId="77777777" w:rsidR="0056001B" w:rsidRPr="00085953" w:rsidRDefault="0056001B" w:rsidP="00D54373">
      <w:pPr>
        <w:pStyle w:val="ListParagraph"/>
        <w:tabs>
          <w:tab w:val="left" w:pos="510"/>
          <w:tab w:val="left" w:pos="1077"/>
          <w:tab w:val="left" w:pos="1797"/>
        </w:tabs>
        <w:spacing w:after="0" w:line="240" w:lineRule="auto"/>
        <w:ind w:left="0"/>
        <w:rPr>
          <w:rFonts w:ascii="Arial" w:hAnsi="Arial" w:cs="Arial"/>
          <w:sz w:val="24"/>
          <w:szCs w:val="24"/>
        </w:rPr>
      </w:pPr>
    </w:p>
    <w:p w14:paraId="553DF2D5" w14:textId="62E49854" w:rsidR="00952727" w:rsidRPr="00085953" w:rsidRDefault="00350B2A" w:rsidP="00D54373">
      <w:pPr>
        <w:tabs>
          <w:tab w:val="left" w:pos="510"/>
          <w:tab w:val="left" w:pos="1077"/>
          <w:tab w:val="left" w:pos="1797"/>
        </w:tabs>
        <w:spacing w:after="0" w:line="240" w:lineRule="auto"/>
        <w:rPr>
          <w:rFonts w:ascii="Arial" w:hAnsi="Arial" w:cs="Arial"/>
          <w:sz w:val="24"/>
          <w:szCs w:val="24"/>
        </w:rPr>
      </w:pPr>
      <w:r>
        <w:rPr>
          <w:rFonts w:ascii="Arial" w:hAnsi="Arial" w:cs="Arial"/>
          <w:sz w:val="24"/>
          <w:szCs w:val="24"/>
        </w:rPr>
        <w:t>9.</w:t>
      </w:r>
      <w:r>
        <w:rPr>
          <w:rFonts w:ascii="Arial" w:hAnsi="Arial" w:cs="Arial"/>
          <w:sz w:val="24"/>
          <w:szCs w:val="24"/>
        </w:rPr>
        <w:tab/>
      </w:r>
      <w:r w:rsidR="00F47BE8" w:rsidRPr="00085953">
        <w:rPr>
          <w:rFonts w:ascii="Arial" w:hAnsi="Arial" w:cs="Arial"/>
          <w:sz w:val="24"/>
          <w:szCs w:val="24"/>
        </w:rPr>
        <w:t xml:space="preserve">The </w:t>
      </w:r>
      <w:r w:rsidR="00DC0BB5" w:rsidRPr="00085953">
        <w:rPr>
          <w:rFonts w:ascii="Arial" w:hAnsi="Arial" w:cs="Arial"/>
          <w:sz w:val="24"/>
          <w:szCs w:val="24"/>
        </w:rPr>
        <w:t>t</w:t>
      </w:r>
      <w:r w:rsidR="00F47BE8" w:rsidRPr="00085953">
        <w:rPr>
          <w:rFonts w:ascii="Arial" w:hAnsi="Arial" w:cs="Arial"/>
          <w:sz w:val="24"/>
          <w:szCs w:val="24"/>
        </w:rPr>
        <w:t>ribunal fou</w:t>
      </w:r>
      <w:r w:rsidR="00727369" w:rsidRPr="00085953">
        <w:rPr>
          <w:rFonts w:ascii="Arial" w:hAnsi="Arial" w:cs="Arial"/>
          <w:sz w:val="24"/>
          <w:szCs w:val="24"/>
        </w:rPr>
        <w:t>nd, among other things, that:</w:t>
      </w:r>
    </w:p>
    <w:p w14:paraId="4499AF11" w14:textId="77777777" w:rsidR="00952727" w:rsidRPr="00085953" w:rsidRDefault="00952727" w:rsidP="00D54373">
      <w:pPr>
        <w:tabs>
          <w:tab w:val="left" w:pos="510"/>
          <w:tab w:val="left" w:pos="1077"/>
          <w:tab w:val="left" w:pos="1797"/>
        </w:tabs>
        <w:spacing w:after="0" w:line="240" w:lineRule="auto"/>
        <w:rPr>
          <w:rFonts w:ascii="Arial" w:hAnsi="Arial" w:cs="Arial"/>
          <w:sz w:val="24"/>
          <w:szCs w:val="24"/>
        </w:rPr>
      </w:pPr>
    </w:p>
    <w:p w14:paraId="56DE0946" w14:textId="05F41262" w:rsidR="00952727" w:rsidRDefault="00350B2A" w:rsidP="008F5C57">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467F81" w:rsidRPr="00085953">
        <w:rPr>
          <w:rFonts w:ascii="Arial" w:hAnsi="Arial" w:cs="Arial"/>
          <w:sz w:val="24"/>
          <w:szCs w:val="24"/>
        </w:rPr>
        <w:t>a.</w:t>
      </w:r>
      <w:r w:rsidR="008F5C57">
        <w:rPr>
          <w:rFonts w:ascii="Arial" w:hAnsi="Arial" w:cs="Arial"/>
          <w:sz w:val="24"/>
          <w:szCs w:val="24"/>
        </w:rPr>
        <w:tab/>
      </w:r>
      <w:r w:rsidR="00467F81" w:rsidRPr="00085953">
        <w:rPr>
          <w:rFonts w:ascii="Arial" w:hAnsi="Arial" w:cs="Arial"/>
          <w:sz w:val="24"/>
          <w:szCs w:val="24"/>
        </w:rPr>
        <w:t xml:space="preserve">engagement in social </w:t>
      </w:r>
      <w:r w:rsidR="000D3C0D" w:rsidRPr="00085953">
        <w:rPr>
          <w:rFonts w:ascii="Arial" w:hAnsi="Arial" w:cs="Arial"/>
          <w:sz w:val="24"/>
          <w:szCs w:val="24"/>
        </w:rPr>
        <w:t>contact</w:t>
      </w:r>
      <w:r w:rsidR="00467F81" w:rsidRPr="00085953">
        <w:rPr>
          <w:rFonts w:ascii="Arial" w:hAnsi="Arial" w:cs="Arial"/>
          <w:sz w:val="24"/>
          <w:szCs w:val="24"/>
        </w:rPr>
        <w:t xml:space="preserve"> with someone unfamiliar to the </w:t>
      </w:r>
      <w:r w:rsidR="005C2EF0" w:rsidRPr="00085953">
        <w:rPr>
          <w:rFonts w:ascii="Arial" w:hAnsi="Arial" w:cs="Arial"/>
          <w:sz w:val="24"/>
          <w:szCs w:val="24"/>
        </w:rPr>
        <w:t>A</w:t>
      </w:r>
      <w:r w:rsidR="00AA27F2" w:rsidRPr="00085953">
        <w:rPr>
          <w:rFonts w:ascii="Arial" w:hAnsi="Arial" w:cs="Arial"/>
          <w:sz w:val="24"/>
          <w:szCs w:val="24"/>
        </w:rPr>
        <w:t xml:space="preserve">ppellant </w:t>
      </w:r>
      <w:r w:rsidR="00467F81" w:rsidRPr="00085953">
        <w:rPr>
          <w:rFonts w:ascii="Arial" w:hAnsi="Arial" w:cs="Arial"/>
          <w:sz w:val="24"/>
          <w:szCs w:val="24"/>
        </w:rPr>
        <w:t xml:space="preserve">was not possible for the </w:t>
      </w:r>
      <w:r w:rsidR="000D3C0D" w:rsidRPr="00085953">
        <w:rPr>
          <w:rFonts w:ascii="Arial" w:hAnsi="Arial" w:cs="Arial"/>
          <w:sz w:val="24"/>
          <w:szCs w:val="24"/>
        </w:rPr>
        <w:t>majority</w:t>
      </w:r>
      <w:r w:rsidR="00467F81" w:rsidRPr="00085953">
        <w:rPr>
          <w:rFonts w:ascii="Arial" w:hAnsi="Arial" w:cs="Arial"/>
          <w:sz w:val="24"/>
          <w:szCs w:val="24"/>
        </w:rPr>
        <w:t xml:space="preserve"> of the </w:t>
      </w:r>
      <w:proofErr w:type="gramStart"/>
      <w:r w:rsidR="00467F81" w:rsidRPr="00085953">
        <w:rPr>
          <w:rFonts w:ascii="Arial" w:hAnsi="Arial" w:cs="Arial"/>
          <w:sz w:val="24"/>
          <w:szCs w:val="24"/>
        </w:rPr>
        <w:t>time</w:t>
      </w:r>
      <w:r w:rsidR="00952727" w:rsidRPr="00085953">
        <w:rPr>
          <w:rFonts w:ascii="Arial" w:hAnsi="Arial" w:cs="Arial"/>
          <w:sz w:val="24"/>
          <w:szCs w:val="24"/>
        </w:rPr>
        <w:t>;</w:t>
      </w:r>
      <w:proofErr w:type="gramEnd"/>
    </w:p>
    <w:p w14:paraId="1009AA6D" w14:textId="77777777" w:rsidR="00350B2A" w:rsidRPr="00085953" w:rsidRDefault="00350B2A" w:rsidP="008F5C57">
      <w:pPr>
        <w:tabs>
          <w:tab w:val="left" w:pos="510"/>
          <w:tab w:val="left" w:pos="1077"/>
          <w:tab w:val="left" w:pos="1797"/>
        </w:tabs>
        <w:spacing w:after="0" w:line="240" w:lineRule="auto"/>
        <w:ind w:left="1077" w:hanging="1077"/>
        <w:jc w:val="both"/>
        <w:rPr>
          <w:rFonts w:ascii="Arial" w:hAnsi="Arial" w:cs="Arial"/>
          <w:sz w:val="24"/>
          <w:szCs w:val="24"/>
        </w:rPr>
      </w:pPr>
    </w:p>
    <w:p w14:paraId="1F16A410" w14:textId="7F71F338" w:rsidR="00952727" w:rsidRDefault="00350B2A" w:rsidP="008F5C57">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5D4792" w:rsidRPr="00085953">
        <w:rPr>
          <w:rFonts w:ascii="Arial" w:hAnsi="Arial" w:cs="Arial"/>
          <w:sz w:val="24"/>
          <w:szCs w:val="24"/>
        </w:rPr>
        <w:t>b</w:t>
      </w:r>
      <w:r w:rsidR="00AA27F2" w:rsidRPr="00085953">
        <w:rPr>
          <w:rFonts w:ascii="Arial" w:hAnsi="Arial" w:cs="Arial"/>
          <w:sz w:val="24"/>
          <w:szCs w:val="24"/>
        </w:rPr>
        <w:t>.</w:t>
      </w:r>
      <w:r w:rsidR="00952727" w:rsidRPr="00085953">
        <w:rPr>
          <w:rFonts w:ascii="Arial" w:hAnsi="Arial" w:cs="Arial"/>
          <w:sz w:val="24"/>
          <w:szCs w:val="24"/>
        </w:rPr>
        <w:tab/>
      </w:r>
      <w:r w:rsidR="00700EAC" w:rsidRPr="00085953">
        <w:rPr>
          <w:rFonts w:ascii="Arial" w:hAnsi="Arial" w:cs="Arial"/>
          <w:sz w:val="24"/>
          <w:szCs w:val="24"/>
        </w:rPr>
        <w:t xml:space="preserve">the </w:t>
      </w:r>
      <w:r w:rsidR="005D4792" w:rsidRPr="00085953">
        <w:rPr>
          <w:rFonts w:ascii="Arial" w:hAnsi="Arial" w:cs="Arial"/>
          <w:sz w:val="24"/>
          <w:szCs w:val="24"/>
        </w:rPr>
        <w:t>A</w:t>
      </w:r>
      <w:r w:rsidR="00700EAC" w:rsidRPr="00085953">
        <w:rPr>
          <w:rFonts w:ascii="Arial" w:hAnsi="Arial" w:cs="Arial"/>
          <w:sz w:val="24"/>
          <w:szCs w:val="24"/>
        </w:rPr>
        <w:t xml:space="preserve">ppellant </w:t>
      </w:r>
      <w:r w:rsidR="000D3C0D" w:rsidRPr="00085953">
        <w:rPr>
          <w:rFonts w:ascii="Arial" w:hAnsi="Arial" w:cs="Arial"/>
          <w:sz w:val="24"/>
          <w:szCs w:val="24"/>
        </w:rPr>
        <w:t>would be affected</w:t>
      </w:r>
      <w:r w:rsidR="00700EAC" w:rsidRPr="00085953">
        <w:rPr>
          <w:rFonts w:ascii="Arial" w:hAnsi="Arial" w:cs="Arial"/>
          <w:sz w:val="24"/>
          <w:szCs w:val="24"/>
        </w:rPr>
        <w:t xml:space="preserve"> by unplanned changes </w:t>
      </w:r>
      <w:r w:rsidR="000D3C0D" w:rsidRPr="00085953">
        <w:rPr>
          <w:rFonts w:ascii="Arial" w:hAnsi="Arial" w:cs="Arial"/>
          <w:sz w:val="24"/>
          <w:szCs w:val="24"/>
        </w:rPr>
        <w:t>to</w:t>
      </w:r>
      <w:r w:rsidR="00700EAC" w:rsidRPr="00085953">
        <w:rPr>
          <w:rFonts w:ascii="Arial" w:hAnsi="Arial" w:cs="Arial"/>
          <w:sz w:val="24"/>
          <w:szCs w:val="24"/>
        </w:rPr>
        <w:t xml:space="preserve"> her routine</w:t>
      </w:r>
      <w:r w:rsidR="00952727" w:rsidRPr="00085953">
        <w:rPr>
          <w:rFonts w:ascii="Arial" w:hAnsi="Arial" w:cs="Arial"/>
          <w:sz w:val="24"/>
          <w:szCs w:val="24"/>
        </w:rPr>
        <w:t xml:space="preserve">; </w:t>
      </w:r>
      <w:r w:rsidR="00750C66" w:rsidRPr="00085953">
        <w:rPr>
          <w:rFonts w:ascii="Arial" w:hAnsi="Arial" w:cs="Arial"/>
          <w:sz w:val="24"/>
          <w:szCs w:val="24"/>
        </w:rPr>
        <w:t>and</w:t>
      </w:r>
    </w:p>
    <w:p w14:paraId="7DC8A00E" w14:textId="77777777" w:rsidR="00350B2A" w:rsidRPr="00085953" w:rsidRDefault="00350B2A" w:rsidP="008F5C57">
      <w:pPr>
        <w:tabs>
          <w:tab w:val="left" w:pos="510"/>
          <w:tab w:val="left" w:pos="1077"/>
          <w:tab w:val="left" w:pos="1797"/>
        </w:tabs>
        <w:spacing w:after="0" w:line="240" w:lineRule="auto"/>
        <w:ind w:left="1077" w:hanging="1077"/>
        <w:jc w:val="both"/>
        <w:rPr>
          <w:rFonts w:ascii="Arial" w:hAnsi="Arial" w:cs="Arial"/>
          <w:sz w:val="24"/>
          <w:szCs w:val="24"/>
        </w:rPr>
      </w:pPr>
    </w:p>
    <w:p w14:paraId="42A0C74A" w14:textId="14B13C97" w:rsidR="00DB74E0" w:rsidRPr="00085953" w:rsidRDefault="00350B2A" w:rsidP="008F5C57">
      <w:pPr>
        <w:tabs>
          <w:tab w:val="left" w:pos="510"/>
          <w:tab w:val="left" w:pos="1077"/>
          <w:tab w:val="left" w:pos="1797"/>
        </w:tabs>
        <w:spacing w:after="0" w:line="240" w:lineRule="auto"/>
        <w:ind w:left="1077" w:hanging="1077"/>
        <w:jc w:val="both"/>
        <w:rPr>
          <w:rFonts w:ascii="Arial" w:hAnsi="Arial" w:cs="Arial"/>
          <w:sz w:val="24"/>
          <w:szCs w:val="24"/>
        </w:rPr>
      </w:pPr>
      <w:r>
        <w:rPr>
          <w:rFonts w:ascii="Arial" w:hAnsi="Arial" w:cs="Arial"/>
          <w:sz w:val="24"/>
          <w:szCs w:val="24"/>
        </w:rPr>
        <w:tab/>
      </w:r>
      <w:r w:rsidR="005D4792" w:rsidRPr="00085953">
        <w:rPr>
          <w:rFonts w:ascii="Arial" w:hAnsi="Arial" w:cs="Arial"/>
          <w:sz w:val="24"/>
          <w:szCs w:val="24"/>
        </w:rPr>
        <w:t>c</w:t>
      </w:r>
      <w:r w:rsidR="00750C66" w:rsidRPr="00085953">
        <w:rPr>
          <w:rFonts w:ascii="Arial" w:hAnsi="Arial" w:cs="Arial"/>
          <w:sz w:val="24"/>
          <w:szCs w:val="24"/>
        </w:rPr>
        <w:t>.</w:t>
      </w:r>
      <w:r w:rsidR="00952727" w:rsidRPr="00085953">
        <w:rPr>
          <w:rFonts w:ascii="Arial" w:hAnsi="Arial" w:cs="Arial"/>
          <w:sz w:val="24"/>
          <w:szCs w:val="24"/>
        </w:rPr>
        <w:tab/>
      </w:r>
      <w:r w:rsidR="000D3C0D" w:rsidRPr="00085953">
        <w:rPr>
          <w:rFonts w:ascii="Arial" w:hAnsi="Arial" w:cs="Arial"/>
          <w:sz w:val="24"/>
          <w:szCs w:val="24"/>
        </w:rPr>
        <w:t>accepted</w:t>
      </w:r>
      <w:r w:rsidR="00750C66" w:rsidRPr="00085953">
        <w:rPr>
          <w:rFonts w:ascii="Arial" w:hAnsi="Arial" w:cs="Arial"/>
          <w:sz w:val="24"/>
          <w:szCs w:val="24"/>
        </w:rPr>
        <w:t xml:space="preserve"> the Department’s </w:t>
      </w:r>
      <w:r w:rsidR="00EA484B" w:rsidRPr="00085953">
        <w:rPr>
          <w:rFonts w:ascii="Arial" w:hAnsi="Arial" w:cs="Arial"/>
          <w:sz w:val="24"/>
          <w:szCs w:val="24"/>
        </w:rPr>
        <w:t>position that</w:t>
      </w:r>
      <w:r w:rsidR="00DB74E0" w:rsidRPr="00085953">
        <w:rPr>
          <w:rFonts w:ascii="Arial" w:hAnsi="Arial" w:cs="Arial"/>
          <w:sz w:val="24"/>
          <w:szCs w:val="24"/>
        </w:rPr>
        <w:t xml:space="preserve"> she could not go to somewhere unfamiliar on her own.</w:t>
      </w:r>
    </w:p>
    <w:p w14:paraId="2D0A34AE" w14:textId="77777777" w:rsidR="00952727" w:rsidRPr="00085953" w:rsidRDefault="00952727" w:rsidP="00D54373">
      <w:pPr>
        <w:tabs>
          <w:tab w:val="left" w:pos="510"/>
          <w:tab w:val="left" w:pos="1077"/>
          <w:tab w:val="left" w:pos="1797"/>
        </w:tabs>
        <w:spacing w:after="0" w:line="240" w:lineRule="auto"/>
        <w:rPr>
          <w:rFonts w:ascii="Arial" w:hAnsi="Arial" w:cs="Arial"/>
          <w:sz w:val="24"/>
          <w:szCs w:val="24"/>
        </w:rPr>
      </w:pPr>
    </w:p>
    <w:p w14:paraId="7B93C608" w14:textId="3847EE4B" w:rsidR="00952727" w:rsidRPr="00085953" w:rsidRDefault="00350B2A" w:rsidP="008F5C5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A42566" w:rsidRPr="00085953">
        <w:rPr>
          <w:rFonts w:ascii="Arial" w:hAnsi="Arial" w:cs="Arial"/>
          <w:sz w:val="24"/>
          <w:szCs w:val="24"/>
        </w:rPr>
        <w:t xml:space="preserve">These </w:t>
      </w:r>
      <w:r w:rsidR="000D3C0D" w:rsidRPr="00085953">
        <w:rPr>
          <w:rFonts w:ascii="Arial" w:hAnsi="Arial" w:cs="Arial"/>
          <w:sz w:val="24"/>
          <w:szCs w:val="24"/>
        </w:rPr>
        <w:t>conclusions</w:t>
      </w:r>
      <w:r w:rsidR="00A42566" w:rsidRPr="00085953">
        <w:rPr>
          <w:rFonts w:ascii="Arial" w:hAnsi="Arial" w:cs="Arial"/>
          <w:sz w:val="24"/>
          <w:szCs w:val="24"/>
        </w:rPr>
        <w:t xml:space="preserve"> were </w:t>
      </w:r>
      <w:r w:rsidR="00EA484B" w:rsidRPr="00085953">
        <w:rPr>
          <w:rFonts w:ascii="Arial" w:hAnsi="Arial" w:cs="Arial"/>
          <w:sz w:val="24"/>
          <w:szCs w:val="24"/>
        </w:rPr>
        <w:t>reflected</w:t>
      </w:r>
      <w:r w:rsidR="00A42566" w:rsidRPr="00085953">
        <w:rPr>
          <w:rFonts w:ascii="Arial" w:hAnsi="Arial" w:cs="Arial"/>
          <w:sz w:val="24"/>
          <w:szCs w:val="24"/>
        </w:rPr>
        <w:t xml:space="preserve"> in the </w:t>
      </w:r>
      <w:r w:rsidR="001E583C" w:rsidRPr="00085953">
        <w:rPr>
          <w:rFonts w:ascii="Arial" w:hAnsi="Arial" w:cs="Arial"/>
          <w:sz w:val="24"/>
          <w:szCs w:val="24"/>
        </w:rPr>
        <w:t>corresponding</w:t>
      </w:r>
      <w:r w:rsidR="00A42566" w:rsidRPr="00085953">
        <w:rPr>
          <w:rFonts w:ascii="Arial" w:hAnsi="Arial" w:cs="Arial"/>
          <w:sz w:val="24"/>
          <w:szCs w:val="24"/>
        </w:rPr>
        <w:t xml:space="preserve"> points award</w:t>
      </w:r>
      <w:r w:rsidR="000D3C0D" w:rsidRPr="00085953">
        <w:rPr>
          <w:rFonts w:ascii="Arial" w:hAnsi="Arial" w:cs="Arial"/>
          <w:sz w:val="24"/>
          <w:szCs w:val="24"/>
        </w:rPr>
        <w:t>ed</w:t>
      </w:r>
      <w:r w:rsidR="00A42566" w:rsidRPr="00085953">
        <w:rPr>
          <w:rFonts w:ascii="Arial" w:hAnsi="Arial" w:cs="Arial"/>
          <w:sz w:val="24"/>
          <w:szCs w:val="24"/>
        </w:rPr>
        <w:t xml:space="preserve"> to the Appellant.</w:t>
      </w:r>
    </w:p>
    <w:p w14:paraId="6F212467" w14:textId="77777777" w:rsidR="00952727" w:rsidRPr="00085953" w:rsidRDefault="00952727" w:rsidP="008F5C57">
      <w:pPr>
        <w:tabs>
          <w:tab w:val="left" w:pos="510"/>
          <w:tab w:val="left" w:pos="1077"/>
          <w:tab w:val="left" w:pos="1797"/>
        </w:tabs>
        <w:spacing w:after="0" w:line="240" w:lineRule="auto"/>
        <w:ind w:left="510" w:hanging="510"/>
        <w:jc w:val="both"/>
        <w:rPr>
          <w:rFonts w:ascii="Arial" w:hAnsi="Arial" w:cs="Arial"/>
          <w:sz w:val="24"/>
          <w:szCs w:val="24"/>
        </w:rPr>
      </w:pPr>
    </w:p>
    <w:p w14:paraId="657E7B3A" w14:textId="2EBEE449" w:rsidR="00A42566" w:rsidRPr="00085953" w:rsidRDefault="008F5C57" w:rsidP="008F5C57">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11.</w:t>
      </w:r>
      <w:r>
        <w:rPr>
          <w:rFonts w:ascii="Arial" w:hAnsi="Arial" w:cs="Arial"/>
          <w:sz w:val="24"/>
          <w:szCs w:val="24"/>
        </w:rPr>
        <w:tab/>
      </w:r>
      <w:r w:rsidR="005814E4" w:rsidRPr="00085953">
        <w:rPr>
          <w:rFonts w:ascii="Arial" w:hAnsi="Arial" w:cs="Arial"/>
          <w:sz w:val="24"/>
          <w:szCs w:val="24"/>
        </w:rPr>
        <w:t>When it cam</w:t>
      </w:r>
      <w:r w:rsidR="005D4792" w:rsidRPr="00085953">
        <w:rPr>
          <w:rFonts w:ascii="Arial" w:hAnsi="Arial" w:cs="Arial"/>
          <w:sz w:val="24"/>
          <w:szCs w:val="24"/>
        </w:rPr>
        <w:t>e</w:t>
      </w:r>
      <w:r w:rsidR="005814E4" w:rsidRPr="00085953">
        <w:rPr>
          <w:rFonts w:ascii="Arial" w:hAnsi="Arial" w:cs="Arial"/>
          <w:sz w:val="24"/>
          <w:szCs w:val="24"/>
        </w:rPr>
        <w:t xml:space="preserve"> to </w:t>
      </w:r>
      <w:r w:rsidR="00952727" w:rsidRPr="00085953">
        <w:rPr>
          <w:rFonts w:ascii="Arial" w:hAnsi="Arial" w:cs="Arial"/>
          <w:sz w:val="24"/>
          <w:szCs w:val="24"/>
        </w:rPr>
        <w:t>Schedule</w:t>
      </w:r>
      <w:r w:rsidR="005814E4" w:rsidRPr="00085953">
        <w:rPr>
          <w:rFonts w:ascii="Arial" w:hAnsi="Arial" w:cs="Arial"/>
          <w:sz w:val="24"/>
          <w:szCs w:val="24"/>
        </w:rPr>
        <w:t xml:space="preserve"> 9, para 4</w:t>
      </w:r>
      <w:r w:rsidR="00113BE3" w:rsidRPr="00085953">
        <w:rPr>
          <w:rFonts w:ascii="Arial" w:hAnsi="Arial" w:cs="Arial"/>
          <w:sz w:val="24"/>
          <w:szCs w:val="24"/>
        </w:rPr>
        <w:t>,</w:t>
      </w:r>
      <w:r w:rsidR="005D4792" w:rsidRPr="00085953">
        <w:rPr>
          <w:rFonts w:ascii="Arial" w:hAnsi="Arial" w:cs="Arial"/>
          <w:sz w:val="24"/>
          <w:szCs w:val="24"/>
        </w:rPr>
        <w:t xml:space="preserve"> </w:t>
      </w:r>
      <w:r w:rsidR="00113BE3" w:rsidRPr="00085953">
        <w:rPr>
          <w:rFonts w:ascii="Arial" w:hAnsi="Arial" w:cs="Arial"/>
          <w:sz w:val="24"/>
          <w:szCs w:val="24"/>
        </w:rPr>
        <w:t>t</w:t>
      </w:r>
      <w:r w:rsidR="005D4792" w:rsidRPr="00085953">
        <w:rPr>
          <w:rFonts w:ascii="Arial" w:hAnsi="Arial" w:cs="Arial"/>
          <w:sz w:val="24"/>
          <w:szCs w:val="24"/>
        </w:rPr>
        <w:t>h</w:t>
      </w:r>
      <w:r w:rsidR="00113BE3" w:rsidRPr="00085953">
        <w:rPr>
          <w:rFonts w:ascii="Arial" w:hAnsi="Arial" w:cs="Arial"/>
          <w:sz w:val="24"/>
          <w:szCs w:val="24"/>
        </w:rPr>
        <w:t xml:space="preserve">e </w:t>
      </w:r>
      <w:r w:rsidR="00DC0BB5" w:rsidRPr="00085953">
        <w:rPr>
          <w:rFonts w:ascii="Arial" w:hAnsi="Arial" w:cs="Arial"/>
          <w:sz w:val="24"/>
          <w:szCs w:val="24"/>
        </w:rPr>
        <w:t>t</w:t>
      </w:r>
      <w:r w:rsidR="00113BE3" w:rsidRPr="00085953">
        <w:rPr>
          <w:rFonts w:ascii="Arial" w:hAnsi="Arial" w:cs="Arial"/>
          <w:sz w:val="24"/>
          <w:szCs w:val="24"/>
        </w:rPr>
        <w:t>ribunal reasoned:</w:t>
      </w:r>
    </w:p>
    <w:p w14:paraId="404A4AFE" w14:textId="77777777" w:rsidR="00084632" w:rsidRPr="00085953" w:rsidRDefault="00084632" w:rsidP="00D54373">
      <w:pPr>
        <w:tabs>
          <w:tab w:val="left" w:pos="510"/>
          <w:tab w:val="left" w:pos="1077"/>
          <w:tab w:val="left" w:pos="1797"/>
        </w:tabs>
        <w:spacing w:after="0" w:line="240" w:lineRule="auto"/>
        <w:rPr>
          <w:rFonts w:ascii="Arial" w:hAnsi="Arial" w:cs="Arial"/>
          <w:sz w:val="24"/>
          <w:szCs w:val="24"/>
        </w:rPr>
      </w:pPr>
    </w:p>
    <w:p w14:paraId="7D2BD3D4" w14:textId="3F772FD1" w:rsidR="00974381" w:rsidRPr="00085953" w:rsidRDefault="00974381" w:rsidP="008F5C57">
      <w:pPr>
        <w:tabs>
          <w:tab w:val="left" w:pos="510"/>
          <w:tab w:val="left" w:pos="1077"/>
          <w:tab w:val="left" w:pos="1797"/>
        </w:tabs>
        <w:spacing w:after="0" w:line="240" w:lineRule="auto"/>
        <w:ind w:left="1077" w:right="1077"/>
        <w:jc w:val="both"/>
        <w:rPr>
          <w:rFonts w:ascii="Arial" w:hAnsi="Arial" w:cs="Arial"/>
          <w:sz w:val="24"/>
          <w:szCs w:val="24"/>
        </w:rPr>
      </w:pPr>
      <w:r w:rsidRPr="00085953">
        <w:rPr>
          <w:rFonts w:ascii="Arial" w:hAnsi="Arial" w:cs="Arial"/>
          <w:sz w:val="24"/>
          <w:szCs w:val="24"/>
        </w:rPr>
        <w:t xml:space="preserve">“The HCP had considered this aspect of the claim and had </w:t>
      </w:r>
      <w:proofErr w:type="gramStart"/>
      <w:r w:rsidRPr="00085953">
        <w:rPr>
          <w:rFonts w:ascii="Arial" w:hAnsi="Arial" w:cs="Arial"/>
          <w:sz w:val="24"/>
          <w:szCs w:val="24"/>
        </w:rPr>
        <w:t>come to the conclusion</w:t>
      </w:r>
      <w:proofErr w:type="gramEnd"/>
      <w:r w:rsidRPr="00085953">
        <w:rPr>
          <w:rFonts w:ascii="Arial" w:hAnsi="Arial" w:cs="Arial"/>
          <w:sz w:val="24"/>
          <w:szCs w:val="24"/>
        </w:rPr>
        <w:t xml:space="preserve"> that there was no substantial risk </w:t>
      </w:r>
      <w:r w:rsidR="000D3C0D" w:rsidRPr="00085953">
        <w:rPr>
          <w:rFonts w:ascii="Arial" w:hAnsi="Arial" w:cs="Arial"/>
          <w:sz w:val="24"/>
          <w:szCs w:val="24"/>
        </w:rPr>
        <w:t>having</w:t>
      </w:r>
      <w:r w:rsidRPr="00085953">
        <w:rPr>
          <w:rFonts w:ascii="Arial" w:hAnsi="Arial" w:cs="Arial"/>
          <w:sz w:val="24"/>
          <w:szCs w:val="24"/>
        </w:rPr>
        <w:t xml:space="preserve"> considered the </w:t>
      </w:r>
      <w:r w:rsidR="005D4792" w:rsidRPr="00085953">
        <w:rPr>
          <w:rFonts w:ascii="Arial" w:hAnsi="Arial" w:cs="Arial"/>
          <w:sz w:val="24"/>
          <w:szCs w:val="24"/>
        </w:rPr>
        <w:t>A</w:t>
      </w:r>
      <w:r w:rsidR="00EA484B" w:rsidRPr="00085953">
        <w:rPr>
          <w:rFonts w:ascii="Arial" w:hAnsi="Arial" w:cs="Arial"/>
          <w:sz w:val="24"/>
          <w:szCs w:val="24"/>
        </w:rPr>
        <w:t>ppellant’s</w:t>
      </w:r>
      <w:r w:rsidR="00BA4A90" w:rsidRPr="00085953">
        <w:rPr>
          <w:rFonts w:ascii="Arial" w:hAnsi="Arial" w:cs="Arial"/>
          <w:sz w:val="24"/>
          <w:szCs w:val="24"/>
        </w:rPr>
        <w:t xml:space="preserve"> mental and </w:t>
      </w:r>
      <w:r w:rsidR="004A6293" w:rsidRPr="00085953">
        <w:rPr>
          <w:rFonts w:ascii="Arial" w:hAnsi="Arial" w:cs="Arial"/>
          <w:sz w:val="24"/>
          <w:szCs w:val="24"/>
        </w:rPr>
        <w:t>physical</w:t>
      </w:r>
      <w:r w:rsidR="00BA4A90" w:rsidRPr="00085953">
        <w:rPr>
          <w:rFonts w:ascii="Arial" w:hAnsi="Arial" w:cs="Arial"/>
          <w:sz w:val="24"/>
          <w:szCs w:val="24"/>
        </w:rPr>
        <w:t xml:space="preserve"> illnesses. </w:t>
      </w:r>
      <w:r w:rsidR="008F5C57">
        <w:rPr>
          <w:rFonts w:ascii="Arial" w:hAnsi="Arial" w:cs="Arial"/>
          <w:sz w:val="24"/>
          <w:szCs w:val="24"/>
        </w:rPr>
        <w:t xml:space="preserve"> </w:t>
      </w:r>
      <w:r w:rsidR="00BA4A90" w:rsidRPr="00085953">
        <w:rPr>
          <w:rFonts w:ascii="Arial" w:hAnsi="Arial" w:cs="Arial"/>
          <w:sz w:val="24"/>
          <w:szCs w:val="24"/>
        </w:rPr>
        <w:t xml:space="preserve">We know that </w:t>
      </w:r>
      <w:r w:rsidR="004A6293" w:rsidRPr="00085953">
        <w:rPr>
          <w:rFonts w:ascii="Arial" w:hAnsi="Arial" w:cs="Arial"/>
          <w:sz w:val="24"/>
          <w:szCs w:val="24"/>
        </w:rPr>
        <w:t>the</w:t>
      </w:r>
      <w:r w:rsidR="00BA4A90" w:rsidRPr="00085953">
        <w:rPr>
          <w:rFonts w:ascii="Arial" w:hAnsi="Arial" w:cs="Arial"/>
          <w:sz w:val="24"/>
          <w:szCs w:val="24"/>
        </w:rPr>
        <w:t xml:space="preserve"> work-related </w:t>
      </w:r>
      <w:r w:rsidR="00EA484B" w:rsidRPr="00085953">
        <w:rPr>
          <w:rFonts w:ascii="Arial" w:hAnsi="Arial" w:cs="Arial"/>
          <w:sz w:val="24"/>
          <w:szCs w:val="24"/>
        </w:rPr>
        <w:t>activities</w:t>
      </w:r>
      <w:r w:rsidR="00BA4A90" w:rsidRPr="00085953">
        <w:rPr>
          <w:rFonts w:ascii="Arial" w:hAnsi="Arial" w:cs="Arial"/>
          <w:sz w:val="24"/>
          <w:szCs w:val="24"/>
        </w:rPr>
        <w:t xml:space="preserve"> will be things like writing a diary, checking </w:t>
      </w:r>
      <w:r w:rsidR="005672FF" w:rsidRPr="00085953">
        <w:rPr>
          <w:rFonts w:ascii="Arial" w:hAnsi="Arial" w:cs="Arial"/>
          <w:sz w:val="24"/>
          <w:szCs w:val="24"/>
        </w:rPr>
        <w:t xml:space="preserve">what jobs are available in the area, </w:t>
      </w:r>
      <w:r w:rsidR="004A6293" w:rsidRPr="00085953">
        <w:rPr>
          <w:rFonts w:ascii="Arial" w:hAnsi="Arial" w:cs="Arial"/>
          <w:sz w:val="24"/>
          <w:szCs w:val="24"/>
        </w:rPr>
        <w:t>learning how</w:t>
      </w:r>
      <w:r w:rsidR="005672FF" w:rsidRPr="00085953">
        <w:rPr>
          <w:rFonts w:ascii="Arial" w:hAnsi="Arial" w:cs="Arial"/>
          <w:sz w:val="24"/>
          <w:szCs w:val="24"/>
        </w:rPr>
        <w:t xml:space="preserve"> to write a CV, if appropriate attending </w:t>
      </w:r>
      <w:r w:rsidR="004A6293" w:rsidRPr="00085953">
        <w:rPr>
          <w:rFonts w:ascii="Arial" w:hAnsi="Arial" w:cs="Arial"/>
          <w:sz w:val="24"/>
          <w:szCs w:val="24"/>
        </w:rPr>
        <w:t>training</w:t>
      </w:r>
      <w:r w:rsidR="005672FF" w:rsidRPr="00085953">
        <w:rPr>
          <w:rFonts w:ascii="Arial" w:hAnsi="Arial" w:cs="Arial"/>
          <w:sz w:val="24"/>
          <w:szCs w:val="24"/>
        </w:rPr>
        <w:t xml:space="preserve"> courses t</w:t>
      </w:r>
      <w:r w:rsidR="007926AA" w:rsidRPr="00085953">
        <w:rPr>
          <w:rFonts w:ascii="Arial" w:hAnsi="Arial" w:cs="Arial"/>
          <w:sz w:val="24"/>
          <w:szCs w:val="24"/>
        </w:rPr>
        <w:t>o</w:t>
      </w:r>
      <w:r w:rsidR="005672FF" w:rsidRPr="00085953">
        <w:rPr>
          <w:rFonts w:ascii="Arial" w:hAnsi="Arial" w:cs="Arial"/>
          <w:sz w:val="24"/>
          <w:szCs w:val="24"/>
        </w:rPr>
        <w:t xml:space="preserve"> </w:t>
      </w:r>
      <w:r w:rsidR="00EA484B" w:rsidRPr="00085953">
        <w:rPr>
          <w:rFonts w:ascii="Arial" w:hAnsi="Arial" w:cs="Arial"/>
          <w:sz w:val="24"/>
          <w:szCs w:val="24"/>
        </w:rPr>
        <w:t>learn</w:t>
      </w:r>
      <w:r w:rsidR="005672FF" w:rsidRPr="00085953">
        <w:rPr>
          <w:rFonts w:ascii="Arial" w:hAnsi="Arial" w:cs="Arial"/>
          <w:sz w:val="24"/>
          <w:szCs w:val="24"/>
        </w:rPr>
        <w:t xml:space="preserve"> new skills</w:t>
      </w:r>
      <w:r w:rsidR="00897A15" w:rsidRPr="00085953">
        <w:rPr>
          <w:rFonts w:ascii="Arial" w:hAnsi="Arial" w:cs="Arial"/>
          <w:sz w:val="24"/>
          <w:szCs w:val="24"/>
        </w:rPr>
        <w:t xml:space="preserve">, if appropriate taking </w:t>
      </w:r>
      <w:r w:rsidR="004A6293" w:rsidRPr="00085953">
        <w:rPr>
          <w:rFonts w:ascii="Arial" w:hAnsi="Arial" w:cs="Arial"/>
          <w:sz w:val="24"/>
          <w:szCs w:val="24"/>
        </w:rPr>
        <w:t>part</w:t>
      </w:r>
      <w:r w:rsidR="00897A15" w:rsidRPr="00085953">
        <w:rPr>
          <w:rFonts w:ascii="Arial" w:hAnsi="Arial" w:cs="Arial"/>
          <w:sz w:val="24"/>
          <w:szCs w:val="24"/>
        </w:rPr>
        <w:t xml:space="preserve"> in activities aimed at helping claimants to </w:t>
      </w:r>
      <w:r w:rsidR="00A806BD" w:rsidRPr="00085953">
        <w:rPr>
          <w:rFonts w:ascii="Arial" w:hAnsi="Arial" w:cs="Arial"/>
          <w:sz w:val="24"/>
          <w:szCs w:val="24"/>
        </w:rPr>
        <w:t>feel better</w:t>
      </w:r>
      <w:r w:rsidR="00F20CBA" w:rsidRPr="00085953">
        <w:rPr>
          <w:rFonts w:ascii="Arial" w:hAnsi="Arial" w:cs="Arial"/>
          <w:sz w:val="24"/>
          <w:szCs w:val="24"/>
        </w:rPr>
        <w:t xml:space="preserve">. </w:t>
      </w:r>
      <w:r w:rsidR="008F5C57">
        <w:rPr>
          <w:rFonts w:ascii="Arial" w:hAnsi="Arial" w:cs="Arial"/>
          <w:sz w:val="24"/>
          <w:szCs w:val="24"/>
        </w:rPr>
        <w:t xml:space="preserve"> </w:t>
      </w:r>
      <w:r w:rsidR="00F20CBA" w:rsidRPr="00085953">
        <w:rPr>
          <w:rFonts w:ascii="Arial" w:hAnsi="Arial" w:cs="Arial"/>
          <w:sz w:val="24"/>
          <w:szCs w:val="24"/>
        </w:rPr>
        <w:t xml:space="preserve">The tribunal believes that the </w:t>
      </w:r>
      <w:r w:rsidR="005D4792" w:rsidRPr="00085953">
        <w:rPr>
          <w:rFonts w:ascii="Arial" w:hAnsi="Arial" w:cs="Arial"/>
          <w:sz w:val="24"/>
          <w:szCs w:val="24"/>
        </w:rPr>
        <w:t>A</w:t>
      </w:r>
      <w:r w:rsidR="00F20CBA" w:rsidRPr="00085953">
        <w:rPr>
          <w:rFonts w:ascii="Arial" w:hAnsi="Arial" w:cs="Arial"/>
          <w:sz w:val="24"/>
          <w:szCs w:val="24"/>
        </w:rPr>
        <w:t>ppellant would be able to partake in work related activity</w:t>
      </w:r>
      <w:r w:rsidR="00AA6BCB" w:rsidRPr="00085953">
        <w:rPr>
          <w:rFonts w:ascii="Arial" w:hAnsi="Arial" w:cs="Arial"/>
          <w:sz w:val="24"/>
          <w:szCs w:val="24"/>
        </w:rPr>
        <w:t xml:space="preserve"> </w:t>
      </w:r>
      <w:r w:rsidR="004A6293" w:rsidRPr="00085953">
        <w:rPr>
          <w:rFonts w:ascii="Arial" w:hAnsi="Arial" w:cs="Arial"/>
          <w:sz w:val="24"/>
          <w:szCs w:val="24"/>
        </w:rPr>
        <w:t>without</w:t>
      </w:r>
      <w:r w:rsidR="00AA6BCB" w:rsidRPr="00085953">
        <w:rPr>
          <w:rFonts w:ascii="Arial" w:hAnsi="Arial" w:cs="Arial"/>
          <w:sz w:val="24"/>
          <w:szCs w:val="24"/>
        </w:rPr>
        <w:t xml:space="preserve"> substantial risk </w:t>
      </w:r>
      <w:r w:rsidR="00B62F7A" w:rsidRPr="00085953">
        <w:rPr>
          <w:rFonts w:ascii="Arial" w:hAnsi="Arial" w:cs="Arial"/>
          <w:sz w:val="24"/>
          <w:szCs w:val="24"/>
        </w:rPr>
        <w:t xml:space="preserve">to </w:t>
      </w:r>
      <w:r w:rsidR="00AA6BCB" w:rsidRPr="00085953">
        <w:rPr>
          <w:rFonts w:ascii="Arial" w:hAnsi="Arial" w:cs="Arial"/>
          <w:sz w:val="24"/>
          <w:szCs w:val="24"/>
        </w:rPr>
        <w:t xml:space="preserve">the </w:t>
      </w:r>
      <w:r w:rsidR="00B62F7A" w:rsidRPr="00085953">
        <w:rPr>
          <w:rFonts w:ascii="Arial" w:hAnsi="Arial" w:cs="Arial"/>
          <w:sz w:val="24"/>
          <w:szCs w:val="24"/>
        </w:rPr>
        <w:t>A</w:t>
      </w:r>
      <w:r w:rsidR="00AA6BCB" w:rsidRPr="00085953">
        <w:rPr>
          <w:rFonts w:ascii="Arial" w:hAnsi="Arial" w:cs="Arial"/>
          <w:sz w:val="24"/>
          <w:szCs w:val="24"/>
        </w:rPr>
        <w:t xml:space="preserve">ppellant or any </w:t>
      </w:r>
      <w:r w:rsidR="0040657A" w:rsidRPr="00085953">
        <w:rPr>
          <w:rFonts w:ascii="Arial" w:hAnsi="Arial" w:cs="Arial"/>
          <w:sz w:val="24"/>
          <w:szCs w:val="24"/>
        </w:rPr>
        <w:t>other</w:t>
      </w:r>
      <w:r w:rsidR="00AA6BCB" w:rsidRPr="00085953">
        <w:rPr>
          <w:rFonts w:ascii="Arial" w:hAnsi="Arial" w:cs="Arial"/>
          <w:sz w:val="24"/>
          <w:szCs w:val="24"/>
        </w:rPr>
        <w:t xml:space="preserve"> person. </w:t>
      </w:r>
      <w:r w:rsidR="008F5C57">
        <w:rPr>
          <w:rFonts w:ascii="Arial" w:hAnsi="Arial" w:cs="Arial"/>
          <w:sz w:val="24"/>
          <w:szCs w:val="24"/>
        </w:rPr>
        <w:t xml:space="preserve"> </w:t>
      </w:r>
      <w:r w:rsidR="00AA6BCB" w:rsidRPr="00085953">
        <w:rPr>
          <w:rFonts w:ascii="Arial" w:hAnsi="Arial" w:cs="Arial"/>
          <w:sz w:val="24"/>
          <w:szCs w:val="24"/>
        </w:rPr>
        <w:t xml:space="preserve">We find that </w:t>
      </w:r>
      <w:r w:rsidR="0040657A" w:rsidRPr="00085953">
        <w:rPr>
          <w:rFonts w:ascii="Arial" w:hAnsi="Arial" w:cs="Arial"/>
          <w:sz w:val="24"/>
          <w:szCs w:val="24"/>
        </w:rPr>
        <w:t xml:space="preserve">the </w:t>
      </w:r>
      <w:r w:rsidR="005D4792" w:rsidRPr="00085953">
        <w:rPr>
          <w:rFonts w:ascii="Arial" w:hAnsi="Arial" w:cs="Arial"/>
          <w:sz w:val="24"/>
          <w:szCs w:val="24"/>
        </w:rPr>
        <w:t>A</w:t>
      </w:r>
      <w:r w:rsidR="0040657A" w:rsidRPr="00085953">
        <w:rPr>
          <w:rFonts w:ascii="Arial" w:hAnsi="Arial" w:cs="Arial"/>
          <w:sz w:val="24"/>
          <w:szCs w:val="24"/>
        </w:rPr>
        <w:t>ppellant</w:t>
      </w:r>
      <w:r w:rsidR="00AA6BCB" w:rsidRPr="00085953">
        <w:rPr>
          <w:rFonts w:ascii="Arial" w:hAnsi="Arial" w:cs="Arial"/>
          <w:sz w:val="24"/>
          <w:szCs w:val="24"/>
        </w:rPr>
        <w:t xml:space="preserve"> could have undertaken this type of work </w:t>
      </w:r>
      <w:r w:rsidR="004B1975" w:rsidRPr="00085953">
        <w:rPr>
          <w:rFonts w:ascii="Arial" w:hAnsi="Arial" w:cs="Arial"/>
          <w:i/>
          <w:iCs/>
          <w:sz w:val="24"/>
          <w:szCs w:val="24"/>
        </w:rPr>
        <w:t>(sic)</w:t>
      </w:r>
      <w:r w:rsidR="004B1975" w:rsidRPr="00085953">
        <w:rPr>
          <w:rFonts w:ascii="Arial" w:hAnsi="Arial" w:cs="Arial"/>
          <w:sz w:val="24"/>
          <w:szCs w:val="24"/>
        </w:rPr>
        <w:t xml:space="preserve"> </w:t>
      </w:r>
      <w:r w:rsidR="0040657A" w:rsidRPr="00085953">
        <w:rPr>
          <w:rFonts w:ascii="Arial" w:hAnsi="Arial" w:cs="Arial"/>
          <w:sz w:val="24"/>
          <w:szCs w:val="24"/>
        </w:rPr>
        <w:t>safely</w:t>
      </w:r>
      <w:r w:rsidR="00AA6BCB" w:rsidRPr="00085953">
        <w:rPr>
          <w:rFonts w:ascii="Arial" w:hAnsi="Arial" w:cs="Arial"/>
          <w:sz w:val="24"/>
          <w:szCs w:val="24"/>
        </w:rPr>
        <w:t xml:space="preserve"> and </w:t>
      </w:r>
      <w:r w:rsidR="00EA484B" w:rsidRPr="00085953">
        <w:rPr>
          <w:rFonts w:ascii="Arial" w:hAnsi="Arial" w:cs="Arial"/>
          <w:sz w:val="24"/>
          <w:szCs w:val="24"/>
        </w:rPr>
        <w:t>without</w:t>
      </w:r>
      <w:r w:rsidR="00AA6BCB" w:rsidRPr="00085953">
        <w:rPr>
          <w:rFonts w:ascii="Arial" w:hAnsi="Arial" w:cs="Arial"/>
          <w:sz w:val="24"/>
          <w:szCs w:val="24"/>
        </w:rPr>
        <w:t xml:space="preserve"> substantial risk</w:t>
      </w:r>
      <w:r w:rsidR="00A806BD" w:rsidRPr="00085953">
        <w:rPr>
          <w:rFonts w:ascii="Arial" w:hAnsi="Arial" w:cs="Arial"/>
          <w:sz w:val="24"/>
          <w:szCs w:val="24"/>
        </w:rPr>
        <w:t>…”</w:t>
      </w:r>
    </w:p>
    <w:p w14:paraId="156A58E4" w14:textId="77777777" w:rsidR="00952727" w:rsidRPr="00085953" w:rsidRDefault="00952727" w:rsidP="00D54373">
      <w:pPr>
        <w:tabs>
          <w:tab w:val="left" w:pos="510"/>
          <w:tab w:val="left" w:pos="1077"/>
          <w:tab w:val="left" w:pos="1797"/>
        </w:tabs>
        <w:spacing w:after="0" w:line="240" w:lineRule="auto"/>
        <w:rPr>
          <w:rFonts w:ascii="Arial" w:hAnsi="Arial" w:cs="Arial"/>
          <w:sz w:val="24"/>
          <w:szCs w:val="24"/>
        </w:rPr>
      </w:pPr>
    </w:p>
    <w:p w14:paraId="2BE0D375" w14:textId="3CB88EB8" w:rsidR="00084632" w:rsidRPr="00085953" w:rsidRDefault="00C039D6" w:rsidP="00C039D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12.</w:t>
      </w:r>
      <w:r>
        <w:rPr>
          <w:rFonts w:ascii="Arial" w:hAnsi="Arial" w:cs="Arial"/>
          <w:sz w:val="24"/>
          <w:szCs w:val="24"/>
        </w:rPr>
        <w:tab/>
      </w:r>
      <w:r w:rsidR="00573F18" w:rsidRPr="00085953">
        <w:rPr>
          <w:rFonts w:ascii="Arial" w:hAnsi="Arial" w:cs="Arial"/>
          <w:sz w:val="24"/>
          <w:szCs w:val="24"/>
        </w:rPr>
        <w:t xml:space="preserve">As a </w:t>
      </w:r>
      <w:r w:rsidR="0040657A" w:rsidRPr="00085953">
        <w:rPr>
          <w:rFonts w:ascii="Arial" w:hAnsi="Arial" w:cs="Arial"/>
          <w:sz w:val="24"/>
          <w:szCs w:val="24"/>
        </w:rPr>
        <w:t>preliminary</w:t>
      </w:r>
      <w:r w:rsidR="007926AA" w:rsidRPr="00085953">
        <w:rPr>
          <w:rFonts w:ascii="Arial" w:hAnsi="Arial" w:cs="Arial"/>
          <w:sz w:val="24"/>
          <w:szCs w:val="24"/>
        </w:rPr>
        <w:t>, it</w:t>
      </w:r>
      <w:r w:rsidR="00B21CEC" w:rsidRPr="00085953">
        <w:rPr>
          <w:rFonts w:ascii="Arial" w:hAnsi="Arial" w:cs="Arial"/>
          <w:sz w:val="24"/>
          <w:szCs w:val="24"/>
        </w:rPr>
        <w:t xml:space="preserve"> appears that the </w:t>
      </w:r>
      <w:r w:rsidR="00DC0BB5" w:rsidRPr="00085953">
        <w:rPr>
          <w:rFonts w:ascii="Arial" w:hAnsi="Arial" w:cs="Arial"/>
          <w:sz w:val="24"/>
          <w:szCs w:val="24"/>
        </w:rPr>
        <w:t>t</w:t>
      </w:r>
      <w:r w:rsidR="00B21CEC" w:rsidRPr="00085953">
        <w:rPr>
          <w:rFonts w:ascii="Arial" w:hAnsi="Arial" w:cs="Arial"/>
          <w:sz w:val="24"/>
          <w:szCs w:val="24"/>
        </w:rPr>
        <w:t xml:space="preserve">ribunal may have been using its own </w:t>
      </w:r>
      <w:r w:rsidR="00576A5B" w:rsidRPr="00085953">
        <w:rPr>
          <w:rFonts w:ascii="Arial" w:hAnsi="Arial" w:cs="Arial"/>
          <w:sz w:val="24"/>
          <w:szCs w:val="24"/>
        </w:rPr>
        <w:t>knowledge</w:t>
      </w:r>
      <w:r w:rsidR="00B21CEC" w:rsidRPr="00085953">
        <w:rPr>
          <w:rFonts w:ascii="Arial" w:hAnsi="Arial" w:cs="Arial"/>
          <w:sz w:val="24"/>
          <w:szCs w:val="24"/>
        </w:rPr>
        <w:t xml:space="preserve"> about </w:t>
      </w:r>
      <w:r w:rsidR="00664D62" w:rsidRPr="00085953">
        <w:rPr>
          <w:rFonts w:ascii="Arial" w:hAnsi="Arial" w:cs="Arial"/>
          <w:sz w:val="24"/>
          <w:szCs w:val="24"/>
        </w:rPr>
        <w:t xml:space="preserve">what </w:t>
      </w:r>
      <w:r w:rsidR="00EA484B" w:rsidRPr="00085953">
        <w:rPr>
          <w:rFonts w:ascii="Arial" w:hAnsi="Arial" w:cs="Arial"/>
          <w:sz w:val="24"/>
          <w:szCs w:val="24"/>
        </w:rPr>
        <w:t>constitutes</w:t>
      </w:r>
      <w:r w:rsidR="00664D62" w:rsidRPr="00085953">
        <w:rPr>
          <w:rFonts w:ascii="Arial" w:hAnsi="Arial" w:cs="Arial"/>
          <w:sz w:val="24"/>
          <w:szCs w:val="24"/>
        </w:rPr>
        <w:t xml:space="preserve"> “work-</w:t>
      </w:r>
      <w:r w:rsidR="00576A5B" w:rsidRPr="00085953">
        <w:rPr>
          <w:rFonts w:ascii="Arial" w:hAnsi="Arial" w:cs="Arial"/>
          <w:sz w:val="24"/>
          <w:szCs w:val="24"/>
        </w:rPr>
        <w:t>related</w:t>
      </w:r>
      <w:r w:rsidR="00664D62" w:rsidRPr="00085953">
        <w:rPr>
          <w:rFonts w:ascii="Arial" w:hAnsi="Arial" w:cs="Arial"/>
          <w:sz w:val="24"/>
          <w:szCs w:val="24"/>
        </w:rPr>
        <w:t xml:space="preserve"> activity”. </w:t>
      </w:r>
      <w:r>
        <w:rPr>
          <w:rFonts w:ascii="Arial" w:hAnsi="Arial" w:cs="Arial"/>
          <w:sz w:val="24"/>
          <w:szCs w:val="24"/>
        </w:rPr>
        <w:t xml:space="preserve"> </w:t>
      </w:r>
      <w:r w:rsidR="00664D62" w:rsidRPr="00085953">
        <w:rPr>
          <w:rFonts w:ascii="Arial" w:hAnsi="Arial" w:cs="Arial"/>
          <w:sz w:val="24"/>
          <w:szCs w:val="24"/>
        </w:rPr>
        <w:t xml:space="preserve">There </w:t>
      </w:r>
      <w:r w:rsidR="007926AA" w:rsidRPr="00085953">
        <w:rPr>
          <w:rFonts w:ascii="Arial" w:hAnsi="Arial" w:cs="Arial"/>
          <w:sz w:val="24"/>
          <w:szCs w:val="24"/>
        </w:rPr>
        <w:t>w</w:t>
      </w:r>
      <w:r w:rsidR="00664D62" w:rsidRPr="00085953">
        <w:rPr>
          <w:rFonts w:ascii="Arial" w:hAnsi="Arial" w:cs="Arial"/>
          <w:sz w:val="24"/>
          <w:szCs w:val="24"/>
        </w:rPr>
        <w:t xml:space="preserve">as however </w:t>
      </w:r>
      <w:r w:rsidR="00576A5B" w:rsidRPr="00085953">
        <w:rPr>
          <w:rFonts w:ascii="Arial" w:hAnsi="Arial" w:cs="Arial"/>
          <w:sz w:val="24"/>
          <w:szCs w:val="24"/>
        </w:rPr>
        <w:t>evidence</w:t>
      </w:r>
      <w:r w:rsidR="00664D62" w:rsidRPr="00085953">
        <w:rPr>
          <w:rFonts w:ascii="Arial" w:hAnsi="Arial" w:cs="Arial"/>
          <w:sz w:val="24"/>
          <w:szCs w:val="24"/>
        </w:rPr>
        <w:t xml:space="preserve"> on this in the </w:t>
      </w:r>
      <w:r w:rsidR="00DC0BB5" w:rsidRPr="00085953">
        <w:rPr>
          <w:rFonts w:ascii="Arial" w:hAnsi="Arial" w:cs="Arial"/>
          <w:sz w:val="24"/>
          <w:szCs w:val="24"/>
        </w:rPr>
        <w:t>t</w:t>
      </w:r>
      <w:r w:rsidR="00664D62" w:rsidRPr="00085953">
        <w:rPr>
          <w:rFonts w:ascii="Arial" w:hAnsi="Arial" w:cs="Arial"/>
          <w:sz w:val="24"/>
          <w:szCs w:val="24"/>
        </w:rPr>
        <w:t xml:space="preserve">ribunal </w:t>
      </w:r>
      <w:r w:rsidR="00576A5B" w:rsidRPr="00085953">
        <w:rPr>
          <w:rFonts w:ascii="Arial" w:hAnsi="Arial" w:cs="Arial"/>
          <w:sz w:val="24"/>
          <w:szCs w:val="24"/>
        </w:rPr>
        <w:t>bundle</w:t>
      </w:r>
      <w:r w:rsidR="00C07E78" w:rsidRPr="00085953">
        <w:rPr>
          <w:rFonts w:ascii="Arial" w:hAnsi="Arial" w:cs="Arial"/>
          <w:sz w:val="24"/>
          <w:szCs w:val="24"/>
        </w:rPr>
        <w:t xml:space="preserve"> (page</w:t>
      </w:r>
      <w:r w:rsidR="007926AA" w:rsidRPr="00085953">
        <w:rPr>
          <w:rFonts w:ascii="Arial" w:hAnsi="Arial" w:cs="Arial"/>
          <w:sz w:val="24"/>
          <w:szCs w:val="24"/>
        </w:rPr>
        <w:t xml:space="preserve"> </w:t>
      </w:r>
      <w:r w:rsidR="00C07E78" w:rsidRPr="00085953">
        <w:rPr>
          <w:rFonts w:ascii="Arial" w:hAnsi="Arial" w:cs="Arial"/>
          <w:sz w:val="24"/>
          <w:szCs w:val="24"/>
        </w:rPr>
        <w:t xml:space="preserve">96) which </w:t>
      </w:r>
      <w:r w:rsidR="00EA484B" w:rsidRPr="00085953">
        <w:rPr>
          <w:rFonts w:ascii="Arial" w:hAnsi="Arial" w:cs="Arial"/>
          <w:sz w:val="24"/>
          <w:szCs w:val="24"/>
        </w:rPr>
        <w:t>included</w:t>
      </w:r>
      <w:r w:rsidR="00C07E78" w:rsidRPr="00085953">
        <w:rPr>
          <w:rFonts w:ascii="Arial" w:hAnsi="Arial" w:cs="Arial"/>
          <w:sz w:val="24"/>
          <w:szCs w:val="24"/>
        </w:rPr>
        <w:t xml:space="preserve"> elements such as “participating in an employment programme” which, although detail was </w:t>
      </w:r>
      <w:r w:rsidR="00576A5B" w:rsidRPr="00085953">
        <w:rPr>
          <w:rFonts w:ascii="Arial" w:hAnsi="Arial" w:cs="Arial"/>
          <w:sz w:val="24"/>
          <w:szCs w:val="24"/>
        </w:rPr>
        <w:t>lacking</w:t>
      </w:r>
      <w:r w:rsidR="00C07E78" w:rsidRPr="00085953">
        <w:rPr>
          <w:rFonts w:ascii="Arial" w:hAnsi="Arial" w:cs="Arial"/>
          <w:sz w:val="24"/>
          <w:szCs w:val="24"/>
        </w:rPr>
        <w:t xml:space="preserve"> as </w:t>
      </w:r>
      <w:r w:rsidR="00EA484B" w:rsidRPr="00085953">
        <w:rPr>
          <w:rFonts w:ascii="Arial" w:hAnsi="Arial" w:cs="Arial"/>
          <w:sz w:val="24"/>
          <w:szCs w:val="24"/>
        </w:rPr>
        <w:t>to</w:t>
      </w:r>
      <w:r w:rsidR="00C07E78" w:rsidRPr="00085953">
        <w:rPr>
          <w:rFonts w:ascii="Arial" w:hAnsi="Arial" w:cs="Arial"/>
          <w:sz w:val="24"/>
          <w:szCs w:val="24"/>
        </w:rPr>
        <w:t xml:space="preserve"> what that might </w:t>
      </w:r>
      <w:proofErr w:type="gramStart"/>
      <w:r w:rsidR="00C07E78" w:rsidRPr="00085953">
        <w:rPr>
          <w:rFonts w:ascii="Arial" w:hAnsi="Arial" w:cs="Arial"/>
          <w:sz w:val="24"/>
          <w:szCs w:val="24"/>
        </w:rPr>
        <w:t>actually entail</w:t>
      </w:r>
      <w:proofErr w:type="gramEnd"/>
      <w:r w:rsidR="00C07E78" w:rsidRPr="00085953">
        <w:rPr>
          <w:rFonts w:ascii="Arial" w:hAnsi="Arial" w:cs="Arial"/>
          <w:sz w:val="24"/>
          <w:szCs w:val="24"/>
        </w:rPr>
        <w:t xml:space="preserve">, </w:t>
      </w:r>
      <w:r w:rsidR="00414F52" w:rsidRPr="00085953">
        <w:rPr>
          <w:rFonts w:ascii="Arial" w:hAnsi="Arial" w:cs="Arial"/>
          <w:sz w:val="24"/>
          <w:szCs w:val="24"/>
        </w:rPr>
        <w:t>might be thought more onerous than the examples picked out by the tribunal from their own knowledge.</w:t>
      </w:r>
      <w:r w:rsidR="0039678B" w:rsidRPr="00085953">
        <w:rPr>
          <w:rFonts w:ascii="Arial" w:hAnsi="Arial" w:cs="Arial"/>
          <w:sz w:val="24"/>
          <w:szCs w:val="24"/>
        </w:rPr>
        <w:t xml:space="preserve">  That </w:t>
      </w:r>
      <w:r w:rsidR="007D14C6" w:rsidRPr="00085953">
        <w:rPr>
          <w:rFonts w:ascii="Arial" w:hAnsi="Arial" w:cs="Arial"/>
          <w:sz w:val="24"/>
          <w:szCs w:val="24"/>
        </w:rPr>
        <w:t>i</w:t>
      </w:r>
      <w:r w:rsidR="0039678B" w:rsidRPr="00085953">
        <w:rPr>
          <w:rFonts w:ascii="Arial" w:hAnsi="Arial" w:cs="Arial"/>
          <w:sz w:val="24"/>
          <w:szCs w:val="24"/>
        </w:rPr>
        <w:t>s</w:t>
      </w:r>
      <w:r w:rsidR="00576A5B" w:rsidRPr="00085953">
        <w:rPr>
          <w:rFonts w:ascii="Arial" w:hAnsi="Arial" w:cs="Arial"/>
          <w:sz w:val="24"/>
          <w:szCs w:val="24"/>
        </w:rPr>
        <w:t xml:space="preserve"> </w:t>
      </w:r>
      <w:r w:rsidR="0039678B" w:rsidRPr="00085953">
        <w:rPr>
          <w:rFonts w:ascii="Arial" w:hAnsi="Arial" w:cs="Arial"/>
          <w:sz w:val="24"/>
          <w:szCs w:val="24"/>
        </w:rPr>
        <w:t xml:space="preserve">not a point </w:t>
      </w:r>
      <w:r w:rsidR="00576A5B" w:rsidRPr="00085953">
        <w:rPr>
          <w:rFonts w:ascii="Arial" w:hAnsi="Arial" w:cs="Arial"/>
          <w:sz w:val="24"/>
          <w:szCs w:val="24"/>
        </w:rPr>
        <w:t>relied</w:t>
      </w:r>
      <w:r w:rsidR="0039678B" w:rsidRPr="00085953">
        <w:rPr>
          <w:rFonts w:ascii="Arial" w:hAnsi="Arial" w:cs="Arial"/>
          <w:sz w:val="24"/>
          <w:szCs w:val="24"/>
        </w:rPr>
        <w:t xml:space="preserve"> upon in the grounds of appeal, </w:t>
      </w:r>
      <w:r w:rsidR="00576A5B" w:rsidRPr="00085953">
        <w:rPr>
          <w:rFonts w:ascii="Arial" w:hAnsi="Arial" w:cs="Arial"/>
          <w:sz w:val="24"/>
          <w:szCs w:val="24"/>
        </w:rPr>
        <w:t>but the</w:t>
      </w:r>
      <w:r w:rsidR="007D14C6" w:rsidRPr="00085953">
        <w:rPr>
          <w:rFonts w:ascii="Arial" w:hAnsi="Arial" w:cs="Arial"/>
          <w:sz w:val="24"/>
          <w:szCs w:val="24"/>
        </w:rPr>
        <w:t xml:space="preserve"> grounds</w:t>
      </w:r>
      <w:r w:rsidR="0039678B" w:rsidRPr="00085953">
        <w:rPr>
          <w:rFonts w:ascii="Arial" w:hAnsi="Arial" w:cs="Arial"/>
          <w:sz w:val="24"/>
          <w:szCs w:val="24"/>
        </w:rPr>
        <w:t xml:space="preserve"> are at least as valid</w:t>
      </w:r>
      <w:r w:rsidR="008C0D03" w:rsidRPr="00085953">
        <w:rPr>
          <w:rFonts w:ascii="Arial" w:hAnsi="Arial" w:cs="Arial"/>
          <w:sz w:val="24"/>
          <w:szCs w:val="24"/>
        </w:rPr>
        <w:t xml:space="preserve"> in </w:t>
      </w:r>
      <w:r w:rsidR="00576A5B" w:rsidRPr="00085953">
        <w:rPr>
          <w:rFonts w:ascii="Arial" w:hAnsi="Arial" w:cs="Arial"/>
          <w:sz w:val="24"/>
          <w:szCs w:val="24"/>
        </w:rPr>
        <w:t>the</w:t>
      </w:r>
      <w:r w:rsidR="008C0D03" w:rsidRPr="00085953">
        <w:rPr>
          <w:rFonts w:ascii="Arial" w:hAnsi="Arial" w:cs="Arial"/>
          <w:sz w:val="24"/>
          <w:szCs w:val="24"/>
        </w:rPr>
        <w:t xml:space="preserve"> face of the evidence a</w:t>
      </w:r>
      <w:r w:rsidR="007D14C6" w:rsidRPr="00085953">
        <w:rPr>
          <w:rFonts w:ascii="Arial" w:hAnsi="Arial" w:cs="Arial"/>
          <w:sz w:val="24"/>
          <w:szCs w:val="24"/>
        </w:rPr>
        <w:t>t</w:t>
      </w:r>
      <w:r w:rsidR="008C0D03" w:rsidRPr="00085953">
        <w:rPr>
          <w:rFonts w:ascii="Arial" w:hAnsi="Arial" w:cs="Arial"/>
          <w:sz w:val="24"/>
          <w:szCs w:val="24"/>
        </w:rPr>
        <w:t xml:space="preserve"> p</w:t>
      </w:r>
      <w:r w:rsidR="00084632" w:rsidRPr="00085953">
        <w:rPr>
          <w:rFonts w:ascii="Arial" w:hAnsi="Arial" w:cs="Arial"/>
          <w:sz w:val="24"/>
          <w:szCs w:val="24"/>
        </w:rPr>
        <w:t xml:space="preserve">age </w:t>
      </w:r>
      <w:r w:rsidR="008C0D03" w:rsidRPr="00085953">
        <w:rPr>
          <w:rFonts w:ascii="Arial" w:hAnsi="Arial" w:cs="Arial"/>
          <w:sz w:val="24"/>
          <w:szCs w:val="24"/>
        </w:rPr>
        <w:t>96.</w:t>
      </w:r>
    </w:p>
    <w:p w14:paraId="6B1D04EB" w14:textId="77777777" w:rsidR="00084632" w:rsidRPr="00085953" w:rsidRDefault="00084632" w:rsidP="00C039D6">
      <w:pPr>
        <w:tabs>
          <w:tab w:val="left" w:pos="510"/>
          <w:tab w:val="left" w:pos="1077"/>
          <w:tab w:val="left" w:pos="1797"/>
        </w:tabs>
        <w:spacing w:after="0" w:line="240" w:lineRule="auto"/>
        <w:ind w:left="510" w:hanging="510"/>
        <w:jc w:val="both"/>
        <w:rPr>
          <w:rFonts w:ascii="Arial" w:hAnsi="Arial" w:cs="Arial"/>
          <w:sz w:val="24"/>
          <w:szCs w:val="24"/>
        </w:rPr>
      </w:pPr>
    </w:p>
    <w:p w14:paraId="5352AE45" w14:textId="6CCC69BB" w:rsidR="0016557F" w:rsidRPr="00085953" w:rsidRDefault="00C039D6" w:rsidP="00C039D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8C0D03" w:rsidRPr="00085953">
        <w:rPr>
          <w:rFonts w:ascii="Arial" w:hAnsi="Arial" w:cs="Arial"/>
          <w:sz w:val="24"/>
          <w:szCs w:val="24"/>
        </w:rPr>
        <w:t xml:space="preserve">Essentially, </w:t>
      </w:r>
      <w:r w:rsidR="00E97B9A" w:rsidRPr="00085953">
        <w:rPr>
          <w:rFonts w:ascii="Arial" w:hAnsi="Arial" w:cs="Arial"/>
          <w:sz w:val="24"/>
          <w:szCs w:val="24"/>
        </w:rPr>
        <w:t>the</w:t>
      </w:r>
      <w:r w:rsidR="00E20886" w:rsidRPr="00085953">
        <w:rPr>
          <w:rFonts w:ascii="Arial" w:hAnsi="Arial" w:cs="Arial"/>
          <w:sz w:val="24"/>
          <w:szCs w:val="24"/>
        </w:rPr>
        <w:t xml:space="preserve"> ground is that the </w:t>
      </w:r>
      <w:r w:rsidR="00DC0BB5" w:rsidRPr="00085953">
        <w:rPr>
          <w:rFonts w:ascii="Arial" w:hAnsi="Arial" w:cs="Arial"/>
          <w:sz w:val="24"/>
          <w:szCs w:val="24"/>
        </w:rPr>
        <w:t>t</w:t>
      </w:r>
      <w:r w:rsidR="00AC3A0A" w:rsidRPr="00085953">
        <w:rPr>
          <w:rFonts w:ascii="Arial" w:hAnsi="Arial" w:cs="Arial"/>
          <w:sz w:val="24"/>
          <w:szCs w:val="24"/>
        </w:rPr>
        <w:t xml:space="preserve">ribunal failed to consider the impact on risk </w:t>
      </w:r>
      <w:r w:rsidR="00E97B9A" w:rsidRPr="00085953">
        <w:rPr>
          <w:rFonts w:ascii="Arial" w:hAnsi="Arial" w:cs="Arial"/>
          <w:sz w:val="24"/>
          <w:szCs w:val="24"/>
        </w:rPr>
        <w:t xml:space="preserve">to </w:t>
      </w:r>
      <w:r w:rsidR="00AC3A0A" w:rsidRPr="00085953">
        <w:rPr>
          <w:rFonts w:ascii="Arial" w:hAnsi="Arial" w:cs="Arial"/>
          <w:sz w:val="24"/>
          <w:szCs w:val="24"/>
        </w:rPr>
        <w:t xml:space="preserve">the </w:t>
      </w:r>
      <w:r w:rsidR="00E97B9A" w:rsidRPr="00085953">
        <w:rPr>
          <w:rFonts w:ascii="Arial" w:hAnsi="Arial" w:cs="Arial"/>
          <w:sz w:val="24"/>
          <w:szCs w:val="24"/>
        </w:rPr>
        <w:t>A</w:t>
      </w:r>
      <w:r w:rsidR="00AC3A0A" w:rsidRPr="00085953">
        <w:rPr>
          <w:rFonts w:ascii="Arial" w:hAnsi="Arial" w:cs="Arial"/>
          <w:sz w:val="24"/>
          <w:szCs w:val="24"/>
        </w:rPr>
        <w:t xml:space="preserve">ppellant </w:t>
      </w:r>
      <w:r w:rsidR="00E97B9A" w:rsidRPr="00085953">
        <w:rPr>
          <w:rFonts w:ascii="Arial" w:hAnsi="Arial" w:cs="Arial"/>
          <w:sz w:val="24"/>
          <w:szCs w:val="24"/>
        </w:rPr>
        <w:t>o</w:t>
      </w:r>
      <w:r w:rsidR="00AC3A0A" w:rsidRPr="00085953">
        <w:rPr>
          <w:rFonts w:ascii="Arial" w:hAnsi="Arial" w:cs="Arial"/>
          <w:sz w:val="24"/>
          <w:szCs w:val="24"/>
        </w:rPr>
        <w:t>f the f</w:t>
      </w:r>
      <w:r w:rsidR="00E97B9A" w:rsidRPr="00085953">
        <w:rPr>
          <w:rFonts w:ascii="Arial" w:hAnsi="Arial" w:cs="Arial"/>
          <w:sz w:val="24"/>
          <w:szCs w:val="24"/>
        </w:rPr>
        <w:t>o</w:t>
      </w:r>
      <w:r w:rsidR="00AC3A0A" w:rsidRPr="00085953">
        <w:rPr>
          <w:rFonts w:ascii="Arial" w:hAnsi="Arial" w:cs="Arial"/>
          <w:sz w:val="24"/>
          <w:szCs w:val="24"/>
        </w:rPr>
        <w:t>rms of work-</w:t>
      </w:r>
      <w:r w:rsidR="00A46991" w:rsidRPr="00085953">
        <w:rPr>
          <w:rFonts w:ascii="Arial" w:hAnsi="Arial" w:cs="Arial"/>
          <w:sz w:val="24"/>
          <w:szCs w:val="24"/>
        </w:rPr>
        <w:t>related</w:t>
      </w:r>
      <w:r w:rsidR="00AC3A0A" w:rsidRPr="00085953">
        <w:rPr>
          <w:rFonts w:ascii="Arial" w:hAnsi="Arial" w:cs="Arial"/>
          <w:sz w:val="24"/>
          <w:szCs w:val="24"/>
        </w:rPr>
        <w:t xml:space="preserve"> activity </w:t>
      </w:r>
      <w:r w:rsidR="003B18F4" w:rsidRPr="00085953">
        <w:rPr>
          <w:rFonts w:ascii="Arial" w:hAnsi="Arial" w:cs="Arial"/>
          <w:sz w:val="24"/>
          <w:szCs w:val="24"/>
        </w:rPr>
        <w:t>it</w:t>
      </w:r>
      <w:r w:rsidR="00A46991" w:rsidRPr="00085953">
        <w:rPr>
          <w:rFonts w:ascii="Arial" w:hAnsi="Arial" w:cs="Arial"/>
          <w:sz w:val="24"/>
          <w:szCs w:val="24"/>
        </w:rPr>
        <w:t xml:space="preserve"> was</w:t>
      </w:r>
      <w:r w:rsidR="006E75F6" w:rsidRPr="00085953">
        <w:rPr>
          <w:rFonts w:ascii="Arial" w:hAnsi="Arial" w:cs="Arial"/>
          <w:sz w:val="24"/>
          <w:szCs w:val="24"/>
        </w:rPr>
        <w:t xml:space="preserve"> </w:t>
      </w:r>
      <w:r w:rsidR="00EA484B" w:rsidRPr="00085953">
        <w:rPr>
          <w:rFonts w:ascii="Arial" w:hAnsi="Arial" w:cs="Arial"/>
          <w:sz w:val="24"/>
          <w:szCs w:val="24"/>
        </w:rPr>
        <w:t>relying</w:t>
      </w:r>
      <w:r w:rsidR="006E75F6" w:rsidRPr="00085953">
        <w:rPr>
          <w:rFonts w:ascii="Arial" w:hAnsi="Arial" w:cs="Arial"/>
          <w:sz w:val="24"/>
          <w:szCs w:val="24"/>
        </w:rPr>
        <w:t xml:space="preserve"> </w:t>
      </w:r>
      <w:r w:rsidR="003B18F4" w:rsidRPr="00085953">
        <w:rPr>
          <w:rFonts w:ascii="Arial" w:hAnsi="Arial" w:cs="Arial"/>
          <w:sz w:val="24"/>
          <w:szCs w:val="24"/>
        </w:rPr>
        <w:t>o</w:t>
      </w:r>
      <w:r w:rsidR="006E75F6" w:rsidRPr="00085953">
        <w:rPr>
          <w:rFonts w:ascii="Arial" w:hAnsi="Arial" w:cs="Arial"/>
          <w:sz w:val="24"/>
          <w:szCs w:val="24"/>
        </w:rPr>
        <w:t>n</w:t>
      </w:r>
      <w:r w:rsidR="002A5687" w:rsidRPr="00085953">
        <w:rPr>
          <w:rFonts w:ascii="Arial" w:hAnsi="Arial" w:cs="Arial"/>
          <w:sz w:val="24"/>
          <w:szCs w:val="24"/>
        </w:rPr>
        <w:t xml:space="preserve">, </w:t>
      </w:r>
      <w:r w:rsidR="009672BB" w:rsidRPr="00085953">
        <w:rPr>
          <w:rFonts w:ascii="Arial" w:hAnsi="Arial" w:cs="Arial"/>
          <w:sz w:val="24"/>
          <w:szCs w:val="24"/>
        </w:rPr>
        <w:t>given its findings on</w:t>
      </w:r>
      <w:r w:rsidR="002A5687" w:rsidRPr="00085953">
        <w:rPr>
          <w:rFonts w:ascii="Arial" w:hAnsi="Arial" w:cs="Arial"/>
          <w:sz w:val="24"/>
          <w:szCs w:val="24"/>
        </w:rPr>
        <w:t xml:space="preserve"> a, b and c above</w:t>
      </w:r>
      <w:r w:rsidR="009672BB" w:rsidRPr="00085953">
        <w:rPr>
          <w:rFonts w:ascii="Arial" w:hAnsi="Arial" w:cs="Arial"/>
          <w:sz w:val="24"/>
          <w:szCs w:val="24"/>
        </w:rPr>
        <w:t>.</w:t>
      </w:r>
      <w:r>
        <w:rPr>
          <w:rFonts w:ascii="Arial" w:hAnsi="Arial" w:cs="Arial"/>
          <w:sz w:val="24"/>
          <w:szCs w:val="24"/>
        </w:rPr>
        <w:t xml:space="preserve"> </w:t>
      </w:r>
      <w:r w:rsidR="006E75F6" w:rsidRPr="00085953">
        <w:rPr>
          <w:rFonts w:ascii="Arial" w:hAnsi="Arial" w:cs="Arial"/>
          <w:sz w:val="24"/>
          <w:szCs w:val="24"/>
        </w:rPr>
        <w:t xml:space="preserve"> T</w:t>
      </w:r>
      <w:r w:rsidR="00E8469C" w:rsidRPr="00085953">
        <w:rPr>
          <w:rFonts w:ascii="Arial" w:hAnsi="Arial" w:cs="Arial"/>
          <w:sz w:val="24"/>
          <w:szCs w:val="24"/>
        </w:rPr>
        <w:t>h</w:t>
      </w:r>
      <w:r w:rsidR="006E75F6" w:rsidRPr="00085953">
        <w:rPr>
          <w:rFonts w:ascii="Arial" w:hAnsi="Arial" w:cs="Arial"/>
          <w:sz w:val="24"/>
          <w:szCs w:val="24"/>
        </w:rPr>
        <w:t>u</w:t>
      </w:r>
      <w:r w:rsidR="00E8469C" w:rsidRPr="00085953">
        <w:rPr>
          <w:rFonts w:ascii="Arial" w:hAnsi="Arial" w:cs="Arial"/>
          <w:sz w:val="24"/>
          <w:szCs w:val="24"/>
        </w:rPr>
        <w:t>s</w:t>
      </w:r>
      <w:r w:rsidR="003B18F4" w:rsidRPr="00085953">
        <w:rPr>
          <w:rFonts w:ascii="Arial" w:hAnsi="Arial" w:cs="Arial"/>
          <w:sz w:val="24"/>
          <w:szCs w:val="24"/>
        </w:rPr>
        <w:t>,</w:t>
      </w:r>
      <w:r w:rsidR="00E8469C" w:rsidRPr="00085953">
        <w:rPr>
          <w:rFonts w:ascii="Arial" w:hAnsi="Arial" w:cs="Arial"/>
          <w:sz w:val="24"/>
          <w:szCs w:val="24"/>
        </w:rPr>
        <w:t xml:space="preserve"> attending training course</w:t>
      </w:r>
      <w:r w:rsidR="003B18F4" w:rsidRPr="00085953">
        <w:rPr>
          <w:rFonts w:ascii="Arial" w:hAnsi="Arial" w:cs="Arial"/>
          <w:sz w:val="24"/>
          <w:szCs w:val="24"/>
        </w:rPr>
        <w:t>s</w:t>
      </w:r>
      <w:r w:rsidR="00E8469C" w:rsidRPr="00085953">
        <w:rPr>
          <w:rFonts w:ascii="Arial" w:hAnsi="Arial" w:cs="Arial"/>
          <w:sz w:val="24"/>
          <w:szCs w:val="24"/>
        </w:rPr>
        <w:t xml:space="preserve">, taking </w:t>
      </w:r>
      <w:r w:rsidR="00A46991" w:rsidRPr="00085953">
        <w:rPr>
          <w:rFonts w:ascii="Arial" w:hAnsi="Arial" w:cs="Arial"/>
          <w:sz w:val="24"/>
          <w:szCs w:val="24"/>
        </w:rPr>
        <w:t>part</w:t>
      </w:r>
      <w:r w:rsidR="00E8469C" w:rsidRPr="00085953">
        <w:rPr>
          <w:rFonts w:ascii="Arial" w:hAnsi="Arial" w:cs="Arial"/>
          <w:sz w:val="24"/>
          <w:szCs w:val="24"/>
        </w:rPr>
        <w:t xml:space="preserve"> </w:t>
      </w:r>
      <w:r w:rsidR="00A46991" w:rsidRPr="00085953">
        <w:rPr>
          <w:rFonts w:ascii="Arial" w:hAnsi="Arial" w:cs="Arial"/>
          <w:sz w:val="24"/>
          <w:szCs w:val="24"/>
        </w:rPr>
        <w:t>in activities</w:t>
      </w:r>
      <w:r w:rsidR="00E8469C" w:rsidRPr="00085953">
        <w:rPr>
          <w:rFonts w:ascii="Arial" w:hAnsi="Arial" w:cs="Arial"/>
          <w:sz w:val="24"/>
          <w:szCs w:val="24"/>
        </w:rPr>
        <w:t xml:space="preserve"> to make her feel better and engaging face to face with a work coach </w:t>
      </w:r>
      <w:r w:rsidR="00715157" w:rsidRPr="00085953">
        <w:rPr>
          <w:rFonts w:ascii="Arial" w:hAnsi="Arial" w:cs="Arial"/>
          <w:sz w:val="24"/>
          <w:szCs w:val="24"/>
        </w:rPr>
        <w:t>who is</w:t>
      </w:r>
      <w:r w:rsidR="00E8469C" w:rsidRPr="00085953">
        <w:rPr>
          <w:rFonts w:ascii="Arial" w:hAnsi="Arial" w:cs="Arial"/>
          <w:sz w:val="24"/>
          <w:szCs w:val="24"/>
        </w:rPr>
        <w:t xml:space="preserve"> unfamiliar to her </w:t>
      </w:r>
      <w:r w:rsidR="00ED08D2" w:rsidRPr="00085953">
        <w:rPr>
          <w:rFonts w:ascii="Arial" w:hAnsi="Arial" w:cs="Arial"/>
          <w:sz w:val="24"/>
          <w:szCs w:val="24"/>
        </w:rPr>
        <w:t xml:space="preserve">were at odds with finding a.  </w:t>
      </w:r>
      <w:r w:rsidR="00715157" w:rsidRPr="00085953">
        <w:rPr>
          <w:rFonts w:ascii="Arial" w:hAnsi="Arial" w:cs="Arial"/>
          <w:sz w:val="24"/>
          <w:szCs w:val="24"/>
        </w:rPr>
        <w:t>Attending</w:t>
      </w:r>
      <w:r w:rsidR="00ED08D2" w:rsidRPr="00085953">
        <w:rPr>
          <w:rFonts w:ascii="Arial" w:hAnsi="Arial" w:cs="Arial"/>
          <w:sz w:val="24"/>
          <w:szCs w:val="24"/>
        </w:rPr>
        <w:t xml:space="preserve"> training courses </w:t>
      </w:r>
      <w:r w:rsidR="00C13E1D" w:rsidRPr="00085953">
        <w:rPr>
          <w:rFonts w:ascii="Arial" w:hAnsi="Arial" w:cs="Arial"/>
          <w:sz w:val="24"/>
          <w:szCs w:val="24"/>
        </w:rPr>
        <w:t xml:space="preserve">might require the appellant to attend </w:t>
      </w:r>
      <w:r w:rsidR="00715157" w:rsidRPr="00085953">
        <w:rPr>
          <w:rFonts w:ascii="Arial" w:hAnsi="Arial" w:cs="Arial"/>
          <w:sz w:val="24"/>
          <w:szCs w:val="24"/>
        </w:rPr>
        <w:t>unaccompanied</w:t>
      </w:r>
      <w:r w:rsidR="00C13E1D" w:rsidRPr="00085953">
        <w:rPr>
          <w:rFonts w:ascii="Arial" w:hAnsi="Arial" w:cs="Arial"/>
          <w:sz w:val="24"/>
          <w:szCs w:val="24"/>
        </w:rPr>
        <w:t xml:space="preserve"> and the risk to her in the light </w:t>
      </w:r>
      <w:r w:rsidR="00312966" w:rsidRPr="00085953">
        <w:rPr>
          <w:rFonts w:ascii="Arial" w:hAnsi="Arial" w:cs="Arial"/>
          <w:sz w:val="24"/>
          <w:szCs w:val="24"/>
        </w:rPr>
        <w:t>o</w:t>
      </w:r>
      <w:r w:rsidR="00C13E1D" w:rsidRPr="00085953">
        <w:rPr>
          <w:rFonts w:ascii="Arial" w:hAnsi="Arial" w:cs="Arial"/>
          <w:sz w:val="24"/>
          <w:szCs w:val="24"/>
        </w:rPr>
        <w:t xml:space="preserve">f finding </w:t>
      </w:r>
      <w:r w:rsidR="00CA217C" w:rsidRPr="00085953">
        <w:rPr>
          <w:rFonts w:ascii="Arial" w:hAnsi="Arial" w:cs="Arial"/>
          <w:sz w:val="24"/>
          <w:szCs w:val="24"/>
        </w:rPr>
        <w:t>c</w:t>
      </w:r>
      <w:r w:rsidR="00C13E1D" w:rsidRPr="00085953">
        <w:rPr>
          <w:rFonts w:ascii="Arial" w:hAnsi="Arial" w:cs="Arial"/>
          <w:sz w:val="24"/>
          <w:szCs w:val="24"/>
        </w:rPr>
        <w:t xml:space="preserve"> </w:t>
      </w:r>
      <w:r w:rsidR="00715157" w:rsidRPr="00085953">
        <w:rPr>
          <w:rFonts w:ascii="Arial" w:hAnsi="Arial" w:cs="Arial"/>
          <w:sz w:val="24"/>
          <w:szCs w:val="24"/>
        </w:rPr>
        <w:t>should</w:t>
      </w:r>
      <w:r w:rsidR="00C13E1D" w:rsidRPr="00085953">
        <w:rPr>
          <w:rFonts w:ascii="Arial" w:hAnsi="Arial" w:cs="Arial"/>
          <w:sz w:val="24"/>
          <w:szCs w:val="24"/>
        </w:rPr>
        <w:t xml:space="preserve"> have b</w:t>
      </w:r>
      <w:r w:rsidR="003B18F4" w:rsidRPr="00085953">
        <w:rPr>
          <w:rFonts w:ascii="Arial" w:hAnsi="Arial" w:cs="Arial"/>
          <w:sz w:val="24"/>
          <w:szCs w:val="24"/>
        </w:rPr>
        <w:t>e</w:t>
      </w:r>
      <w:r w:rsidR="00C13E1D" w:rsidRPr="00085953">
        <w:rPr>
          <w:rFonts w:ascii="Arial" w:hAnsi="Arial" w:cs="Arial"/>
          <w:sz w:val="24"/>
          <w:szCs w:val="24"/>
        </w:rPr>
        <w:t xml:space="preserve">en </w:t>
      </w:r>
      <w:r w:rsidR="00EA484B" w:rsidRPr="00085953">
        <w:rPr>
          <w:rFonts w:ascii="Arial" w:hAnsi="Arial" w:cs="Arial"/>
          <w:sz w:val="24"/>
          <w:szCs w:val="24"/>
        </w:rPr>
        <w:t>considered</w:t>
      </w:r>
      <w:r w:rsidR="0004394B" w:rsidRPr="00085953">
        <w:rPr>
          <w:rFonts w:ascii="Arial" w:hAnsi="Arial" w:cs="Arial"/>
          <w:sz w:val="24"/>
          <w:szCs w:val="24"/>
        </w:rPr>
        <w:t xml:space="preserve">. </w:t>
      </w:r>
      <w:r>
        <w:rPr>
          <w:rFonts w:ascii="Arial" w:hAnsi="Arial" w:cs="Arial"/>
          <w:sz w:val="24"/>
          <w:szCs w:val="24"/>
        </w:rPr>
        <w:t xml:space="preserve"> </w:t>
      </w:r>
      <w:r w:rsidR="0004394B" w:rsidRPr="00085953">
        <w:rPr>
          <w:rFonts w:ascii="Arial" w:hAnsi="Arial" w:cs="Arial"/>
          <w:sz w:val="24"/>
          <w:szCs w:val="24"/>
        </w:rPr>
        <w:t xml:space="preserve">There would always be a risk </w:t>
      </w:r>
      <w:r w:rsidR="003B18F4" w:rsidRPr="00085953">
        <w:rPr>
          <w:rFonts w:ascii="Arial" w:hAnsi="Arial" w:cs="Arial"/>
          <w:sz w:val="24"/>
          <w:szCs w:val="24"/>
        </w:rPr>
        <w:t>o</w:t>
      </w:r>
      <w:r w:rsidR="0004394B" w:rsidRPr="00085953">
        <w:rPr>
          <w:rFonts w:ascii="Arial" w:hAnsi="Arial" w:cs="Arial"/>
          <w:sz w:val="24"/>
          <w:szCs w:val="24"/>
        </w:rPr>
        <w:t xml:space="preserve">f </w:t>
      </w:r>
      <w:r w:rsidR="00D510C3" w:rsidRPr="00085953">
        <w:rPr>
          <w:rFonts w:ascii="Arial" w:hAnsi="Arial" w:cs="Arial"/>
          <w:sz w:val="24"/>
          <w:szCs w:val="24"/>
        </w:rPr>
        <w:t xml:space="preserve">a </w:t>
      </w:r>
      <w:r w:rsidR="00715157" w:rsidRPr="00085953">
        <w:rPr>
          <w:rFonts w:ascii="Arial" w:hAnsi="Arial" w:cs="Arial"/>
          <w:sz w:val="24"/>
          <w:szCs w:val="24"/>
        </w:rPr>
        <w:t>last</w:t>
      </w:r>
      <w:r w:rsidR="00271DEB" w:rsidRPr="00085953">
        <w:rPr>
          <w:rFonts w:ascii="Arial" w:hAnsi="Arial" w:cs="Arial"/>
          <w:sz w:val="24"/>
          <w:szCs w:val="24"/>
        </w:rPr>
        <w:t>-</w:t>
      </w:r>
      <w:r w:rsidR="00D510C3" w:rsidRPr="00085953">
        <w:rPr>
          <w:rFonts w:ascii="Arial" w:hAnsi="Arial" w:cs="Arial"/>
          <w:sz w:val="24"/>
          <w:szCs w:val="24"/>
        </w:rPr>
        <w:t xml:space="preserve"> minute change in work</w:t>
      </w:r>
      <w:r w:rsidR="00271DEB" w:rsidRPr="00085953">
        <w:rPr>
          <w:rFonts w:ascii="Arial" w:hAnsi="Arial" w:cs="Arial"/>
          <w:sz w:val="24"/>
          <w:szCs w:val="24"/>
        </w:rPr>
        <w:t>-</w:t>
      </w:r>
      <w:r w:rsidR="00715157" w:rsidRPr="00085953">
        <w:rPr>
          <w:rFonts w:ascii="Arial" w:hAnsi="Arial" w:cs="Arial"/>
          <w:sz w:val="24"/>
          <w:szCs w:val="24"/>
        </w:rPr>
        <w:t>related</w:t>
      </w:r>
      <w:r w:rsidR="00D510C3" w:rsidRPr="00085953">
        <w:rPr>
          <w:rFonts w:ascii="Arial" w:hAnsi="Arial" w:cs="Arial"/>
          <w:sz w:val="24"/>
          <w:szCs w:val="24"/>
        </w:rPr>
        <w:t xml:space="preserve"> activity</w:t>
      </w:r>
      <w:r w:rsidR="009809A0" w:rsidRPr="00085953">
        <w:rPr>
          <w:rFonts w:ascii="Arial" w:hAnsi="Arial" w:cs="Arial"/>
          <w:sz w:val="24"/>
          <w:szCs w:val="24"/>
        </w:rPr>
        <w:t xml:space="preserve"> and if that were to </w:t>
      </w:r>
      <w:r w:rsidR="00715157" w:rsidRPr="00085953">
        <w:rPr>
          <w:rFonts w:ascii="Arial" w:hAnsi="Arial" w:cs="Arial"/>
          <w:sz w:val="24"/>
          <w:szCs w:val="24"/>
        </w:rPr>
        <w:t>happen</w:t>
      </w:r>
      <w:r w:rsidR="00EB170A" w:rsidRPr="00085953">
        <w:rPr>
          <w:rFonts w:ascii="Arial" w:hAnsi="Arial" w:cs="Arial"/>
          <w:sz w:val="24"/>
          <w:szCs w:val="24"/>
        </w:rPr>
        <w:t xml:space="preserve">, she would be at risk </w:t>
      </w:r>
      <w:r w:rsidR="00271DEB" w:rsidRPr="00085953">
        <w:rPr>
          <w:rFonts w:ascii="Arial" w:hAnsi="Arial" w:cs="Arial"/>
          <w:sz w:val="24"/>
          <w:szCs w:val="24"/>
        </w:rPr>
        <w:t>o</w:t>
      </w:r>
      <w:r w:rsidR="00EB170A" w:rsidRPr="00085953">
        <w:rPr>
          <w:rFonts w:ascii="Arial" w:hAnsi="Arial" w:cs="Arial"/>
          <w:sz w:val="24"/>
          <w:szCs w:val="24"/>
        </w:rPr>
        <w:t>f panic attacks and anxiety</w:t>
      </w:r>
      <w:r w:rsidR="00CA217C" w:rsidRPr="00085953">
        <w:rPr>
          <w:rFonts w:ascii="Arial" w:hAnsi="Arial" w:cs="Arial"/>
          <w:sz w:val="24"/>
          <w:szCs w:val="24"/>
        </w:rPr>
        <w:t xml:space="preserve"> – see finding b.</w:t>
      </w:r>
    </w:p>
    <w:p w14:paraId="25F4737F" w14:textId="77777777" w:rsidR="0016557F" w:rsidRPr="00085953" w:rsidRDefault="0016557F" w:rsidP="00C039D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2DFF8E3A" w14:textId="71401881" w:rsidR="0016557F" w:rsidRPr="00085953" w:rsidRDefault="00C039D6" w:rsidP="00C039D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14.</w:t>
      </w:r>
      <w:r>
        <w:rPr>
          <w:rFonts w:ascii="Arial" w:hAnsi="Arial" w:cs="Arial"/>
          <w:sz w:val="24"/>
          <w:szCs w:val="24"/>
        </w:rPr>
        <w:tab/>
      </w:r>
      <w:r w:rsidR="00141EC1" w:rsidRPr="00085953">
        <w:rPr>
          <w:rFonts w:ascii="Arial" w:hAnsi="Arial" w:cs="Arial"/>
          <w:sz w:val="24"/>
          <w:szCs w:val="24"/>
        </w:rPr>
        <w:t xml:space="preserve">Mr </w:t>
      </w:r>
      <w:r w:rsidR="00715157" w:rsidRPr="00085953">
        <w:rPr>
          <w:rFonts w:ascii="Arial" w:hAnsi="Arial" w:cs="Arial"/>
          <w:sz w:val="24"/>
          <w:szCs w:val="24"/>
        </w:rPr>
        <w:t>Woods</w:t>
      </w:r>
      <w:r w:rsidR="00141EC1" w:rsidRPr="00085953">
        <w:rPr>
          <w:rFonts w:ascii="Arial" w:hAnsi="Arial" w:cs="Arial"/>
          <w:sz w:val="24"/>
          <w:szCs w:val="24"/>
        </w:rPr>
        <w:t xml:space="preserve"> supports the appeal </w:t>
      </w:r>
      <w:r w:rsidR="00931AD1" w:rsidRPr="00085953">
        <w:rPr>
          <w:rFonts w:ascii="Arial" w:hAnsi="Arial" w:cs="Arial"/>
          <w:sz w:val="24"/>
          <w:szCs w:val="24"/>
        </w:rPr>
        <w:t xml:space="preserve">on these </w:t>
      </w:r>
      <w:r w:rsidR="00715157" w:rsidRPr="00085953">
        <w:rPr>
          <w:rFonts w:ascii="Arial" w:hAnsi="Arial" w:cs="Arial"/>
          <w:sz w:val="24"/>
          <w:szCs w:val="24"/>
        </w:rPr>
        <w:t>grounds and</w:t>
      </w:r>
      <w:r w:rsidR="00931AD1" w:rsidRPr="00085953">
        <w:rPr>
          <w:rFonts w:ascii="Arial" w:hAnsi="Arial" w:cs="Arial"/>
          <w:sz w:val="24"/>
          <w:szCs w:val="24"/>
        </w:rPr>
        <w:t xml:space="preserve"> in my </w:t>
      </w:r>
      <w:proofErr w:type="gramStart"/>
      <w:r w:rsidR="00931AD1" w:rsidRPr="00085953">
        <w:rPr>
          <w:rFonts w:ascii="Arial" w:hAnsi="Arial" w:cs="Arial"/>
          <w:sz w:val="24"/>
          <w:szCs w:val="24"/>
        </w:rPr>
        <w:t>view</w:t>
      </w:r>
      <w:proofErr w:type="gramEnd"/>
      <w:r w:rsidR="00931AD1" w:rsidRPr="00085953">
        <w:rPr>
          <w:rFonts w:ascii="Arial" w:hAnsi="Arial" w:cs="Arial"/>
          <w:sz w:val="24"/>
          <w:szCs w:val="24"/>
        </w:rPr>
        <w:t xml:space="preserve"> he is right to do so.  </w:t>
      </w:r>
      <w:r w:rsidR="00715157" w:rsidRPr="00085953">
        <w:rPr>
          <w:rFonts w:ascii="Arial" w:hAnsi="Arial" w:cs="Arial"/>
          <w:sz w:val="24"/>
          <w:szCs w:val="24"/>
        </w:rPr>
        <w:t>Effectively</w:t>
      </w:r>
      <w:r w:rsidR="00931AD1" w:rsidRPr="00085953">
        <w:rPr>
          <w:rFonts w:ascii="Arial" w:hAnsi="Arial" w:cs="Arial"/>
          <w:sz w:val="24"/>
          <w:szCs w:val="24"/>
        </w:rPr>
        <w:t xml:space="preserve"> </w:t>
      </w:r>
      <w:r w:rsidR="00EA484B" w:rsidRPr="00085953">
        <w:rPr>
          <w:rFonts w:ascii="Arial" w:hAnsi="Arial" w:cs="Arial"/>
          <w:sz w:val="24"/>
          <w:szCs w:val="24"/>
        </w:rPr>
        <w:t>the</w:t>
      </w:r>
      <w:r w:rsidR="00931AD1" w:rsidRPr="00085953">
        <w:rPr>
          <w:rFonts w:ascii="Arial" w:hAnsi="Arial" w:cs="Arial"/>
          <w:sz w:val="24"/>
          <w:szCs w:val="24"/>
        </w:rPr>
        <w:t xml:space="preserve"> tribunal simply lists what sorts of work</w:t>
      </w:r>
      <w:r w:rsidR="000C599B" w:rsidRPr="00085953">
        <w:rPr>
          <w:rFonts w:ascii="Arial" w:hAnsi="Arial" w:cs="Arial"/>
          <w:sz w:val="24"/>
          <w:szCs w:val="24"/>
        </w:rPr>
        <w:t>-</w:t>
      </w:r>
      <w:r w:rsidR="00715157" w:rsidRPr="00085953">
        <w:rPr>
          <w:rFonts w:ascii="Arial" w:hAnsi="Arial" w:cs="Arial"/>
          <w:sz w:val="24"/>
          <w:szCs w:val="24"/>
        </w:rPr>
        <w:t>related</w:t>
      </w:r>
      <w:r w:rsidR="000C599B" w:rsidRPr="00085953">
        <w:rPr>
          <w:rFonts w:ascii="Arial" w:hAnsi="Arial" w:cs="Arial"/>
          <w:sz w:val="24"/>
          <w:szCs w:val="24"/>
        </w:rPr>
        <w:t xml:space="preserve"> activity it has in </w:t>
      </w:r>
      <w:r w:rsidR="00715157" w:rsidRPr="00085953">
        <w:rPr>
          <w:rFonts w:ascii="Arial" w:hAnsi="Arial" w:cs="Arial"/>
          <w:sz w:val="24"/>
          <w:szCs w:val="24"/>
        </w:rPr>
        <w:t>mind</w:t>
      </w:r>
      <w:r w:rsidR="000C599B" w:rsidRPr="00085953">
        <w:rPr>
          <w:rFonts w:ascii="Arial" w:hAnsi="Arial" w:cs="Arial"/>
          <w:sz w:val="24"/>
          <w:szCs w:val="24"/>
        </w:rPr>
        <w:t xml:space="preserve"> </w:t>
      </w:r>
      <w:r w:rsidR="00271DEB" w:rsidRPr="00085953">
        <w:rPr>
          <w:rFonts w:ascii="Arial" w:hAnsi="Arial" w:cs="Arial"/>
          <w:sz w:val="24"/>
          <w:szCs w:val="24"/>
        </w:rPr>
        <w:t xml:space="preserve">then </w:t>
      </w:r>
      <w:r w:rsidR="000C599B" w:rsidRPr="00085953">
        <w:rPr>
          <w:rFonts w:ascii="Arial" w:hAnsi="Arial" w:cs="Arial"/>
          <w:sz w:val="24"/>
          <w:szCs w:val="24"/>
        </w:rPr>
        <w:t xml:space="preserve">proceeds </w:t>
      </w:r>
      <w:r w:rsidR="00EA484B" w:rsidRPr="00085953">
        <w:rPr>
          <w:rFonts w:ascii="Arial" w:hAnsi="Arial" w:cs="Arial"/>
          <w:sz w:val="24"/>
          <w:szCs w:val="24"/>
        </w:rPr>
        <w:t>to</w:t>
      </w:r>
      <w:r w:rsidR="000C599B" w:rsidRPr="00085953">
        <w:rPr>
          <w:rFonts w:ascii="Arial" w:hAnsi="Arial" w:cs="Arial"/>
          <w:sz w:val="24"/>
          <w:szCs w:val="24"/>
        </w:rPr>
        <w:t xml:space="preserve"> a </w:t>
      </w:r>
      <w:r w:rsidR="00715157" w:rsidRPr="00085953">
        <w:rPr>
          <w:rFonts w:ascii="Arial" w:hAnsi="Arial" w:cs="Arial"/>
          <w:sz w:val="24"/>
          <w:szCs w:val="24"/>
        </w:rPr>
        <w:t>conclusion</w:t>
      </w:r>
      <w:r w:rsidR="000C599B" w:rsidRPr="00085953">
        <w:rPr>
          <w:rFonts w:ascii="Arial" w:hAnsi="Arial" w:cs="Arial"/>
          <w:sz w:val="24"/>
          <w:szCs w:val="24"/>
        </w:rPr>
        <w:t xml:space="preserve"> that the </w:t>
      </w:r>
      <w:r w:rsidR="00271DEB" w:rsidRPr="00085953">
        <w:rPr>
          <w:rFonts w:ascii="Arial" w:hAnsi="Arial" w:cs="Arial"/>
          <w:sz w:val="24"/>
          <w:szCs w:val="24"/>
        </w:rPr>
        <w:t>A</w:t>
      </w:r>
      <w:r w:rsidR="000C599B" w:rsidRPr="00085953">
        <w:rPr>
          <w:rFonts w:ascii="Arial" w:hAnsi="Arial" w:cs="Arial"/>
          <w:sz w:val="24"/>
          <w:szCs w:val="24"/>
        </w:rPr>
        <w:t xml:space="preserve">ppellant </w:t>
      </w:r>
      <w:r w:rsidR="00715157" w:rsidRPr="00085953">
        <w:rPr>
          <w:rFonts w:ascii="Arial" w:hAnsi="Arial" w:cs="Arial"/>
          <w:sz w:val="24"/>
          <w:szCs w:val="24"/>
        </w:rPr>
        <w:t>could</w:t>
      </w:r>
      <w:r w:rsidR="000C599B" w:rsidRPr="00085953">
        <w:rPr>
          <w:rFonts w:ascii="Arial" w:hAnsi="Arial" w:cs="Arial"/>
          <w:sz w:val="24"/>
          <w:szCs w:val="24"/>
        </w:rPr>
        <w:t xml:space="preserve"> undertake them </w:t>
      </w:r>
      <w:r w:rsidR="00EA484B" w:rsidRPr="00085953">
        <w:rPr>
          <w:rFonts w:ascii="Arial" w:hAnsi="Arial" w:cs="Arial"/>
          <w:sz w:val="24"/>
          <w:szCs w:val="24"/>
        </w:rPr>
        <w:t>without</w:t>
      </w:r>
      <w:r w:rsidR="000C599B" w:rsidRPr="00085953">
        <w:rPr>
          <w:rFonts w:ascii="Arial" w:hAnsi="Arial" w:cs="Arial"/>
          <w:sz w:val="24"/>
          <w:szCs w:val="24"/>
        </w:rPr>
        <w:t xml:space="preserve"> the </w:t>
      </w:r>
      <w:r w:rsidR="00715157" w:rsidRPr="00085953">
        <w:rPr>
          <w:rFonts w:ascii="Arial" w:hAnsi="Arial" w:cs="Arial"/>
          <w:sz w:val="24"/>
          <w:szCs w:val="24"/>
        </w:rPr>
        <w:t>sort</w:t>
      </w:r>
      <w:r w:rsidR="000C599B" w:rsidRPr="00085953">
        <w:rPr>
          <w:rFonts w:ascii="Arial" w:hAnsi="Arial" w:cs="Arial"/>
          <w:sz w:val="24"/>
          <w:szCs w:val="24"/>
        </w:rPr>
        <w:t xml:space="preserve"> </w:t>
      </w:r>
      <w:r w:rsidR="00312966" w:rsidRPr="00085953">
        <w:rPr>
          <w:rFonts w:ascii="Arial" w:hAnsi="Arial" w:cs="Arial"/>
          <w:sz w:val="24"/>
          <w:szCs w:val="24"/>
        </w:rPr>
        <w:t>of</w:t>
      </w:r>
      <w:r w:rsidR="000C599B" w:rsidRPr="00085953">
        <w:rPr>
          <w:rFonts w:ascii="Arial" w:hAnsi="Arial" w:cs="Arial"/>
          <w:sz w:val="24"/>
          <w:szCs w:val="24"/>
        </w:rPr>
        <w:t xml:space="preserve"> risk which </w:t>
      </w:r>
      <w:r w:rsidR="0016557F" w:rsidRPr="00085953">
        <w:rPr>
          <w:rFonts w:ascii="Arial" w:hAnsi="Arial" w:cs="Arial"/>
          <w:sz w:val="24"/>
          <w:szCs w:val="24"/>
        </w:rPr>
        <w:t>Schedule</w:t>
      </w:r>
      <w:r w:rsidR="00D066B3" w:rsidRPr="00085953">
        <w:rPr>
          <w:rFonts w:ascii="Arial" w:hAnsi="Arial" w:cs="Arial"/>
          <w:sz w:val="24"/>
          <w:szCs w:val="24"/>
        </w:rPr>
        <w:t xml:space="preserve"> 9 </w:t>
      </w:r>
      <w:r w:rsidR="00715157" w:rsidRPr="00085953">
        <w:rPr>
          <w:rFonts w:ascii="Arial" w:hAnsi="Arial" w:cs="Arial"/>
          <w:sz w:val="24"/>
          <w:szCs w:val="24"/>
        </w:rPr>
        <w:t>para</w:t>
      </w:r>
      <w:r w:rsidR="00D066B3" w:rsidRPr="00085953">
        <w:rPr>
          <w:rFonts w:ascii="Arial" w:hAnsi="Arial" w:cs="Arial"/>
          <w:sz w:val="24"/>
          <w:szCs w:val="24"/>
        </w:rPr>
        <w:t xml:space="preserve"> 4 envisages.  There is no indication that it </w:t>
      </w:r>
      <w:r w:rsidR="00715157" w:rsidRPr="00085953">
        <w:rPr>
          <w:rFonts w:ascii="Arial" w:hAnsi="Arial" w:cs="Arial"/>
          <w:sz w:val="24"/>
          <w:szCs w:val="24"/>
        </w:rPr>
        <w:t>addressed</w:t>
      </w:r>
      <w:r w:rsidR="00D066B3" w:rsidRPr="00085953">
        <w:rPr>
          <w:rFonts w:ascii="Arial" w:hAnsi="Arial" w:cs="Arial"/>
          <w:sz w:val="24"/>
          <w:szCs w:val="24"/>
        </w:rPr>
        <w:t xml:space="preserve"> its mi</w:t>
      </w:r>
      <w:r w:rsidR="00312966" w:rsidRPr="00085953">
        <w:rPr>
          <w:rFonts w:ascii="Arial" w:hAnsi="Arial" w:cs="Arial"/>
          <w:sz w:val="24"/>
          <w:szCs w:val="24"/>
        </w:rPr>
        <w:t>nd</w:t>
      </w:r>
      <w:r w:rsidR="00D066B3" w:rsidRPr="00085953">
        <w:rPr>
          <w:rFonts w:ascii="Arial" w:hAnsi="Arial" w:cs="Arial"/>
          <w:sz w:val="24"/>
          <w:szCs w:val="24"/>
        </w:rPr>
        <w:t xml:space="preserve"> to the interplay with findings a to c </w:t>
      </w:r>
      <w:r w:rsidR="007B2CC8" w:rsidRPr="00085953">
        <w:rPr>
          <w:rFonts w:ascii="Arial" w:hAnsi="Arial" w:cs="Arial"/>
          <w:sz w:val="24"/>
          <w:szCs w:val="24"/>
        </w:rPr>
        <w:t>above.</w:t>
      </w:r>
      <w:r w:rsidR="0016557F" w:rsidRPr="00085953">
        <w:rPr>
          <w:rFonts w:ascii="Arial" w:hAnsi="Arial" w:cs="Arial"/>
          <w:sz w:val="24"/>
          <w:szCs w:val="24"/>
        </w:rPr>
        <w:t xml:space="preserve">  </w:t>
      </w:r>
      <w:r w:rsidR="00715157" w:rsidRPr="00085953">
        <w:rPr>
          <w:rFonts w:ascii="Arial" w:hAnsi="Arial" w:cs="Arial"/>
          <w:sz w:val="24"/>
          <w:szCs w:val="24"/>
        </w:rPr>
        <w:t>Alternatively</w:t>
      </w:r>
      <w:r w:rsidR="007B2CC8" w:rsidRPr="00085953">
        <w:rPr>
          <w:rFonts w:ascii="Arial" w:hAnsi="Arial" w:cs="Arial"/>
          <w:sz w:val="24"/>
          <w:szCs w:val="24"/>
        </w:rPr>
        <w:t xml:space="preserve">, </w:t>
      </w:r>
      <w:r w:rsidR="00312966" w:rsidRPr="00085953">
        <w:rPr>
          <w:rFonts w:ascii="Arial" w:hAnsi="Arial" w:cs="Arial"/>
          <w:sz w:val="24"/>
          <w:szCs w:val="24"/>
        </w:rPr>
        <w:t>i</w:t>
      </w:r>
      <w:r w:rsidR="007B2CC8" w:rsidRPr="00085953">
        <w:rPr>
          <w:rFonts w:ascii="Arial" w:hAnsi="Arial" w:cs="Arial"/>
          <w:sz w:val="24"/>
          <w:szCs w:val="24"/>
        </w:rPr>
        <w:t xml:space="preserve">f it </w:t>
      </w:r>
      <w:r w:rsidR="001E583C" w:rsidRPr="00085953">
        <w:rPr>
          <w:rFonts w:ascii="Arial" w:hAnsi="Arial" w:cs="Arial"/>
          <w:sz w:val="24"/>
          <w:szCs w:val="24"/>
        </w:rPr>
        <w:t>did, but</w:t>
      </w:r>
      <w:r w:rsidR="007B2CC8" w:rsidRPr="00085953">
        <w:rPr>
          <w:rFonts w:ascii="Arial" w:hAnsi="Arial" w:cs="Arial"/>
          <w:sz w:val="24"/>
          <w:szCs w:val="24"/>
        </w:rPr>
        <w:t xml:space="preserve"> </w:t>
      </w:r>
      <w:r w:rsidR="00312966" w:rsidRPr="00085953">
        <w:rPr>
          <w:rFonts w:ascii="Arial" w:hAnsi="Arial" w:cs="Arial"/>
          <w:sz w:val="24"/>
          <w:szCs w:val="24"/>
        </w:rPr>
        <w:t>did</w:t>
      </w:r>
      <w:r w:rsidR="007B2CC8" w:rsidRPr="00085953">
        <w:rPr>
          <w:rFonts w:ascii="Arial" w:hAnsi="Arial" w:cs="Arial"/>
          <w:sz w:val="24"/>
          <w:szCs w:val="24"/>
        </w:rPr>
        <w:t xml:space="preserve"> not state </w:t>
      </w:r>
      <w:r w:rsidR="007B5CBC" w:rsidRPr="00085953">
        <w:rPr>
          <w:rFonts w:ascii="Arial" w:hAnsi="Arial" w:cs="Arial"/>
          <w:sz w:val="24"/>
          <w:szCs w:val="24"/>
        </w:rPr>
        <w:t xml:space="preserve">how it reconciled </w:t>
      </w:r>
      <w:r w:rsidR="00871490" w:rsidRPr="00085953">
        <w:rPr>
          <w:rFonts w:ascii="Arial" w:hAnsi="Arial" w:cs="Arial"/>
          <w:sz w:val="24"/>
          <w:szCs w:val="24"/>
        </w:rPr>
        <w:t>the findings and its conclusions on risk</w:t>
      </w:r>
      <w:r w:rsidR="007B5CBC" w:rsidRPr="00085953">
        <w:rPr>
          <w:rFonts w:ascii="Arial" w:hAnsi="Arial" w:cs="Arial"/>
          <w:sz w:val="24"/>
          <w:szCs w:val="24"/>
        </w:rPr>
        <w:t xml:space="preserve">, its reasons are </w:t>
      </w:r>
      <w:r w:rsidR="00715157" w:rsidRPr="00085953">
        <w:rPr>
          <w:rFonts w:ascii="Arial" w:hAnsi="Arial" w:cs="Arial"/>
          <w:sz w:val="24"/>
          <w:szCs w:val="24"/>
        </w:rPr>
        <w:t>inadequate</w:t>
      </w:r>
      <w:r w:rsidR="007B5CBC" w:rsidRPr="00085953">
        <w:rPr>
          <w:rFonts w:ascii="Arial" w:hAnsi="Arial" w:cs="Arial"/>
          <w:sz w:val="24"/>
          <w:szCs w:val="24"/>
        </w:rPr>
        <w:t>.</w:t>
      </w:r>
    </w:p>
    <w:p w14:paraId="40001EA9" w14:textId="77777777" w:rsidR="0016557F" w:rsidRPr="00085953" w:rsidRDefault="0016557F" w:rsidP="00C039D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FA52032" w14:textId="1C4BC200" w:rsidR="0016557F" w:rsidRPr="00085953" w:rsidRDefault="00C039D6" w:rsidP="00C039D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15.</w:t>
      </w:r>
      <w:r>
        <w:rPr>
          <w:rFonts w:ascii="Arial" w:hAnsi="Arial" w:cs="Arial"/>
          <w:sz w:val="24"/>
          <w:szCs w:val="24"/>
        </w:rPr>
        <w:tab/>
      </w:r>
      <w:r w:rsidR="00DA301D" w:rsidRPr="00085953">
        <w:rPr>
          <w:rFonts w:ascii="Arial" w:hAnsi="Arial" w:cs="Arial"/>
          <w:sz w:val="24"/>
          <w:szCs w:val="24"/>
        </w:rPr>
        <w:t xml:space="preserve">There </w:t>
      </w:r>
      <w:r w:rsidR="00871490" w:rsidRPr="00085953">
        <w:rPr>
          <w:rFonts w:ascii="Arial" w:hAnsi="Arial" w:cs="Arial"/>
          <w:sz w:val="24"/>
          <w:szCs w:val="24"/>
        </w:rPr>
        <w:t>is</w:t>
      </w:r>
      <w:r w:rsidR="00DA301D" w:rsidRPr="00085953">
        <w:rPr>
          <w:rFonts w:ascii="Arial" w:hAnsi="Arial" w:cs="Arial"/>
          <w:sz w:val="24"/>
          <w:szCs w:val="24"/>
        </w:rPr>
        <w:t xml:space="preserve"> a fourth sub-</w:t>
      </w:r>
      <w:r w:rsidR="00675559" w:rsidRPr="00085953">
        <w:rPr>
          <w:rFonts w:ascii="Arial" w:hAnsi="Arial" w:cs="Arial"/>
          <w:sz w:val="24"/>
          <w:szCs w:val="24"/>
        </w:rPr>
        <w:t>ground</w:t>
      </w:r>
      <w:r w:rsidR="00DA301D" w:rsidRPr="00085953">
        <w:rPr>
          <w:rFonts w:ascii="Arial" w:hAnsi="Arial" w:cs="Arial"/>
          <w:sz w:val="24"/>
          <w:szCs w:val="24"/>
        </w:rPr>
        <w:t xml:space="preserve"> </w:t>
      </w:r>
      <w:r w:rsidR="00871490" w:rsidRPr="00085953">
        <w:rPr>
          <w:rFonts w:ascii="Arial" w:hAnsi="Arial" w:cs="Arial"/>
          <w:sz w:val="24"/>
          <w:szCs w:val="24"/>
        </w:rPr>
        <w:t xml:space="preserve">to the </w:t>
      </w:r>
      <w:r w:rsidR="001E583C" w:rsidRPr="00085953">
        <w:rPr>
          <w:rFonts w:ascii="Arial" w:hAnsi="Arial" w:cs="Arial"/>
          <w:sz w:val="24"/>
          <w:szCs w:val="24"/>
        </w:rPr>
        <w:t>appeal</w:t>
      </w:r>
      <w:r w:rsidR="00DA301D" w:rsidRPr="00085953">
        <w:rPr>
          <w:rFonts w:ascii="Arial" w:hAnsi="Arial" w:cs="Arial"/>
          <w:sz w:val="24"/>
          <w:szCs w:val="24"/>
        </w:rPr>
        <w:t xml:space="preserve">, which Mr Woods </w:t>
      </w:r>
      <w:r w:rsidR="00675559" w:rsidRPr="00085953">
        <w:rPr>
          <w:rFonts w:ascii="Arial" w:hAnsi="Arial" w:cs="Arial"/>
          <w:sz w:val="24"/>
          <w:szCs w:val="24"/>
        </w:rPr>
        <w:t>does not</w:t>
      </w:r>
      <w:r w:rsidR="00DA301D" w:rsidRPr="00085953">
        <w:rPr>
          <w:rFonts w:ascii="Arial" w:hAnsi="Arial" w:cs="Arial"/>
          <w:sz w:val="24"/>
          <w:szCs w:val="24"/>
        </w:rPr>
        <w:t xml:space="preserve"> support</w:t>
      </w:r>
      <w:r w:rsidR="00580457" w:rsidRPr="00085953">
        <w:rPr>
          <w:rFonts w:ascii="Arial" w:hAnsi="Arial" w:cs="Arial"/>
          <w:sz w:val="24"/>
          <w:szCs w:val="24"/>
        </w:rPr>
        <w:t>, but Ms MacCabe maintains</w:t>
      </w:r>
      <w:r w:rsidR="00DA301D" w:rsidRPr="00085953">
        <w:rPr>
          <w:rFonts w:ascii="Arial" w:hAnsi="Arial" w:cs="Arial"/>
          <w:sz w:val="24"/>
          <w:szCs w:val="24"/>
        </w:rPr>
        <w:t>.</w:t>
      </w:r>
      <w:r w:rsidR="007930A2" w:rsidRPr="00085953">
        <w:rPr>
          <w:rFonts w:ascii="Arial" w:hAnsi="Arial" w:cs="Arial"/>
          <w:sz w:val="24"/>
          <w:szCs w:val="24"/>
        </w:rPr>
        <w:t xml:space="preserve"> </w:t>
      </w:r>
      <w:r>
        <w:rPr>
          <w:rFonts w:ascii="Arial" w:hAnsi="Arial" w:cs="Arial"/>
          <w:sz w:val="24"/>
          <w:szCs w:val="24"/>
        </w:rPr>
        <w:t xml:space="preserve"> </w:t>
      </w:r>
      <w:r w:rsidR="00B75CB0" w:rsidRPr="00085953">
        <w:rPr>
          <w:rFonts w:ascii="Arial" w:hAnsi="Arial" w:cs="Arial"/>
          <w:sz w:val="24"/>
          <w:szCs w:val="24"/>
        </w:rPr>
        <w:t xml:space="preserve">She submits </w:t>
      </w:r>
      <w:r w:rsidR="00A75E43" w:rsidRPr="00085953">
        <w:rPr>
          <w:rFonts w:ascii="Arial" w:hAnsi="Arial" w:cs="Arial"/>
          <w:sz w:val="24"/>
          <w:szCs w:val="24"/>
        </w:rPr>
        <w:t xml:space="preserve">that the ongoing </w:t>
      </w:r>
      <w:r w:rsidR="00144821" w:rsidRPr="00085953">
        <w:rPr>
          <w:rFonts w:ascii="Arial" w:hAnsi="Arial" w:cs="Arial"/>
          <w:sz w:val="24"/>
          <w:szCs w:val="24"/>
        </w:rPr>
        <w:t xml:space="preserve">risk of sanction if the </w:t>
      </w:r>
      <w:r w:rsidR="00EE192D" w:rsidRPr="00085953">
        <w:rPr>
          <w:rFonts w:ascii="Arial" w:hAnsi="Arial" w:cs="Arial"/>
          <w:sz w:val="24"/>
          <w:szCs w:val="24"/>
        </w:rPr>
        <w:t>A</w:t>
      </w:r>
      <w:r w:rsidR="00144821" w:rsidRPr="00085953">
        <w:rPr>
          <w:rFonts w:ascii="Arial" w:hAnsi="Arial" w:cs="Arial"/>
          <w:sz w:val="24"/>
          <w:szCs w:val="24"/>
        </w:rPr>
        <w:t xml:space="preserve">ppellant could not adhere to commitments </w:t>
      </w:r>
      <w:r w:rsidR="001E583C" w:rsidRPr="00085953">
        <w:rPr>
          <w:rFonts w:ascii="Arial" w:hAnsi="Arial" w:cs="Arial"/>
          <w:sz w:val="24"/>
          <w:szCs w:val="24"/>
        </w:rPr>
        <w:t>could</w:t>
      </w:r>
      <w:r w:rsidR="00144821" w:rsidRPr="00085953">
        <w:rPr>
          <w:rFonts w:ascii="Arial" w:hAnsi="Arial" w:cs="Arial"/>
          <w:sz w:val="24"/>
          <w:szCs w:val="24"/>
        </w:rPr>
        <w:t xml:space="preserve"> cause a deterioration in her conditions</w:t>
      </w:r>
      <w:r w:rsidR="00B75CB0" w:rsidRPr="00085953">
        <w:rPr>
          <w:rFonts w:ascii="Arial" w:hAnsi="Arial" w:cs="Arial"/>
          <w:sz w:val="24"/>
          <w:szCs w:val="24"/>
        </w:rPr>
        <w:t>.</w:t>
      </w:r>
    </w:p>
    <w:p w14:paraId="5CD10018" w14:textId="77777777" w:rsidR="0016557F" w:rsidRPr="00085953" w:rsidRDefault="0016557F" w:rsidP="00C039D6">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58FD8211" w14:textId="7CE1AEAB" w:rsidR="0016557F" w:rsidRPr="00085953" w:rsidRDefault="00C039D6" w:rsidP="00C039D6">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16.</w:t>
      </w:r>
      <w:r>
        <w:rPr>
          <w:rFonts w:ascii="Arial" w:hAnsi="Arial" w:cs="Arial"/>
          <w:sz w:val="24"/>
          <w:szCs w:val="24"/>
        </w:rPr>
        <w:tab/>
      </w:r>
      <w:r w:rsidR="00B75CB0" w:rsidRPr="00085953">
        <w:rPr>
          <w:rFonts w:ascii="Arial" w:hAnsi="Arial" w:cs="Arial"/>
          <w:sz w:val="24"/>
          <w:szCs w:val="24"/>
        </w:rPr>
        <w:t xml:space="preserve">Mr Woods relies on </w:t>
      </w:r>
      <w:r w:rsidR="00DE24D1" w:rsidRPr="00085953">
        <w:rPr>
          <w:rFonts w:ascii="Arial" w:hAnsi="Arial" w:cs="Arial"/>
          <w:i/>
          <w:iCs/>
          <w:sz w:val="24"/>
          <w:szCs w:val="24"/>
        </w:rPr>
        <w:t>IM v SSWP (ESA)</w:t>
      </w:r>
      <w:r w:rsidR="00DE24D1" w:rsidRPr="00085953">
        <w:rPr>
          <w:rFonts w:ascii="Arial" w:hAnsi="Arial" w:cs="Arial"/>
          <w:sz w:val="24"/>
          <w:szCs w:val="24"/>
        </w:rPr>
        <w:t xml:space="preserve"> [2014] UKUT 412 (AAC)</w:t>
      </w:r>
      <w:r w:rsidR="00B767D0" w:rsidRPr="00085953">
        <w:rPr>
          <w:rFonts w:ascii="Arial" w:hAnsi="Arial" w:cs="Arial"/>
          <w:sz w:val="24"/>
          <w:szCs w:val="24"/>
        </w:rPr>
        <w:t xml:space="preserve"> [2015] AACR 10.</w:t>
      </w:r>
      <w:r w:rsidR="00AC5CE6" w:rsidRPr="00085953">
        <w:rPr>
          <w:rFonts w:ascii="Arial" w:hAnsi="Arial" w:cs="Arial"/>
          <w:sz w:val="24"/>
          <w:szCs w:val="24"/>
        </w:rPr>
        <w:t xml:space="preserve"> </w:t>
      </w:r>
      <w:r>
        <w:rPr>
          <w:rFonts w:ascii="Arial" w:hAnsi="Arial" w:cs="Arial"/>
          <w:sz w:val="24"/>
          <w:szCs w:val="24"/>
        </w:rPr>
        <w:t xml:space="preserve"> </w:t>
      </w:r>
      <w:r w:rsidR="00AC5CE6" w:rsidRPr="00085953">
        <w:rPr>
          <w:rFonts w:ascii="Arial" w:hAnsi="Arial" w:cs="Arial"/>
          <w:sz w:val="24"/>
          <w:szCs w:val="24"/>
        </w:rPr>
        <w:t xml:space="preserve">At para 110 the </w:t>
      </w:r>
      <w:r w:rsidR="00D82392" w:rsidRPr="00085953">
        <w:rPr>
          <w:rFonts w:ascii="Arial" w:hAnsi="Arial" w:cs="Arial"/>
          <w:sz w:val="24"/>
          <w:szCs w:val="24"/>
        </w:rPr>
        <w:t>panel</w:t>
      </w:r>
      <w:r w:rsidR="00AC5CE6" w:rsidRPr="00085953">
        <w:rPr>
          <w:rFonts w:ascii="Arial" w:hAnsi="Arial" w:cs="Arial"/>
          <w:sz w:val="24"/>
          <w:szCs w:val="24"/>
        </w:rPr>
        <w:t xml:space="preserve"> said:</w:t>
      </w:r>
    </w:p>
    <w:p w14:paraId="1073AEDB" w14:textId="77777777" w:rsidR="0016557F" w:rsidRPr="00085953" w:rsidRDefault="0016557F" w:rsidP="00D54373">
      <w:pPr>
        <w:pStyle w:val="ListParagraph"/>
        <w:tabs>
          <w:tab w:val="left" w:pos="510"/>
          <w:tab w:val="left" w:pos="1077"/>
          <w:tab w:val="left" w:pos="1797"/>
        </w:tabs>
        <w:spacing w:after="0" w:line="240" w:lineRule="auto"/>
        <w:ind w:left="0"/>
        <w:rPr>
          <w:rFonts w:ascii="Arial" w:hAnsi="Arial" w:cs="Arial"/>
          <w:sz w:val="24"/>
          <w:szCs w:val="24"/>
        </w:rPr>
      </w:pPr>
    </w:p>
    <w:p w14:paraId="4107B185" w14:textId="5D1E04BA" w:rsidR="006C124D" w:rsidRPr="00085953" w:rsidRDefault="009B25DB" w:rsidP="00F87D9B">
      <w:pPr>
        <w:tabs>
          <w:tab w:val="left" w:pos="510"/>
          <w:tab w:val="left" w:pos="1077"/>
          <w:tab w:val="left" w:pos="1797"/>
        </w:tabs>
        <w:spacing w:after="0" w:line="240" w:lineRule="auto"/>
        <w:ind w:left="1077" w:right="1077"/>
        <w:jc w:val="both"/>
        <w:rPr>
          <w:rFonts w:ascii="Arial" w:hAnsi="Arial" w:cs="Arial"/>
          <w:sz w:val="24"/>
          <w:szCs w:val="24"/>
        </w:rPr>
      </w:pPr>
      <w:r w:rsidRPr="00085953">
        <w:rPr>
          <w:rFonts w:ascii="Arial" w:hAnsi="Arial" w:cs="Arial"/>
          <w:sz w:val="24"/>
          <w:szCs w:val="24"/>
        </w:rPr>
        <w:t>“</w:t>
      </w:r>
      <w:r w:rsidR="006C124D" w:rsidRPr="00085953">
        <w:rPr>
          <w:rFonts w:ascii="Arial" w:hAnsi="Arial" w:cs="Arial"/>
          <w:sz w:val="24"/>
          <w:szCs w:val="24"/>
        </w:rPr>
        <w:t xml:space="preserve">The issue under regulation 35(2) is not whether the claimant could carry out all forms of work-related activity or even whether he or she might inappropriately be sanctioned. </w:t>
      </w:r>
      <w:r w:rsidR="00F87D9B">
        <w:rPr>
          <w:rFonts w:ascii="Arial" w:hAnsi="Arial" w:cs="Arial"/>
          <w:sz w:val="24"/>
          <w:szCs w:val="24"/>
        </w:rPr>
        <w:t xml:space="preserve"> </w:t>
      </w:r>
      <w:r w:rsidR="006C124D" w:rsidRPr="00085953">
        <w:rPr>
          <w:rFonts w:ascii="Arial" w:hAnsi="Arial" w:cs="Arial"/>
          <w:sz w:val="24"/>
          <w:szCs w:val="24"/>
        </w:rPr>
        <w:t xml:space="preserve">Satisfaction of regulation 35(2) requires a substantial risk to health to be identified (in the sense of a risk that cannot sensibly be ignored having regard to the nature and gravity of the feared harm in the </w:t>
      </w:r>
      <w:proofErr w:type="gramStart"/>
      <w:r w:rsidR="006C124D" w:rsidRPr="00085953">
        <w:rPr>
          <w:rFonts w:ascii="Arial" w:hAnsi="Arial" w:cs="Arial"/>
          <w:sz w:val="24"/>
          <w:szCs w:val="24"/>
        </w:rPr>
        <w:t>particular case</w:t>
      </w:r>
      <w:proofErr w:type="gramEnd"/>
      <w:r w:rsidR="006C124D" w:rsidRPr="00085953">
        <w:rPr>
          <w:rFonts w:ascii="Arial" w:hAnsi="Arial" w:cs="Arial"/>
          <w:sz w:val="24"/>
          <w:szCs w:val="24"/>
        </w:rPr>
        <w:t xml:space="preserve">). </w:t>
      </w:r>
      <w:r w:rsidR="00F87D9B">
        <w:rPr>
          <w:rFonts w:ascii="Arial" w:hAnsi="Arial" w:cs="Arial"/>
          <w:sz w:val="24"/>
          <w:szCs w:val="24"/>
        </w:rPr>
        <w:t xml:space="preserve"> </w:t>
      </w:r>
      <w:r w:rsidR="006C124D" w:rsidRPr="00085953">
        <w:rPr>
          <w:rFonts w:ascii="Arial" w:hAnsi="Arial" w:cs="Arial"/>
          <w:sz w:val="24"/>
          <w:szCs w:val="24"/>
        </w:rPr>
        <w:t xml:space="preserve">Being unable to carry out an activity does not necessarily imply that there will be a substantial risk to anyone’s health if the claimant is required to engage in the activity. </w:t>
      </w:r>
      <w:r w:rsidR="00F87D9B">
        <w:rPr>
          <w:rFonts w:ascii="Arial" w:hAnsi="Arial" w:cs="Arial"/>
          <w:sz w:val="24"/>
          <w:szCs w:val="24"/>
        </w:rPr>
        <w:t xml:space="preserve"> </w:t>
      </w:r>
      <w:r w:rsidR="006C124D" w:rsidRPr="00085953">
        <w:rPr>
          <w:rFonts w:ascii="Arial" w:hAnsi="Arial" w:cs="Arial"/>
          <w:sz w:val="24"/>
          <w:szCs w:val="24"/>
        </w:rPr>
        <w:t xml:space="preserve">Nor does the risk of being sanctioned. </w:t>
      </w:r>
      <w:r w:rsidR="00F87D9B">
        <w:rPr>
          <w:rFonts w:ascii="Arial" w:hAnsi="Arial" w:cs="Arial"/>
          <w:sz w:val="24"/>
          <w:szCs w:val="24"/>
        </w:rPr>
        <w:t xml:space="preserve"> </w:t>
      </w:r>
      <w:r w:rsidR="006C124D" w:rsidRPr="00085953">
        <w:rPr>
          <w:rFonts w:ascii="Arial" w:hAnsi="Arial" w:cs="Arial"/>
          <w:sz w:val="24"/>
          <w:szCs w:val="24"/>
        </w:rPr>
        <w:t xml:space="preserve">Therefore, </w:t>
      </w:r>
      <w:r w:rsidR="006C124D" w:rsidRPr="00085953">
        <w:rPr>
          <w:rFonts w:ascii="Arial" w:hAnsi="Arial" w:cs="Arial"/>
          <w:sz w:val="24"/>
          <w:szCs w:val="24"/>
        </w:rPr>
        <w:lastRenderedPageBreak/>
        <w:t xml:space="preserve">it may be </w:t>
      </w:r>
      <w:proofErr w:type="gramStart"/>
      <w:r w:rsidR="006C124D" w:rsidRPr="00085953">
        <w:rPr>
          <w:rFonts w:ascii="Arial" w:hAnsi="Arial" w:cs="Arial"/>
          <w:sz w:val="24"/>
          <w:szCs w:val="24"/>
        </w:rPr>
        <w:t>fairly obvious</w:t>
      </w:r>
      <w:proofErr w:type="gramEnd"/>
      <w:r w:rsidR="006C124D" w:rsidRPr="00085953">
        <w:rPr>
          <w:rFonts w:ascii="Arial" w:hAnsi="Arial" w:cs="Arial"/>
          <w:sz w:val="24"/>
          <w:szCs w:val="24"/>
        </w:rPr>
        <w:t xml:space="preserve"> in most cases that the claimant does not have any realistic argument under regulation 35 and indeed, if made aware of the issues, the claimant may often accept that that is so. </w:t>
      </w:r>
      <w:r w:rsidR="00F87D9B">
        <w:rPr>
          <w:rFonts w:ascii="Arial" w:hAnsi="Arial" w:cs="Arial"/>
          <w:sz w:val="24"/>
          <w:szCs w:val="24"/>
        </w:rPr>
        <w:t xml:space="preserve"> </w:t>
      </w:r>
      <w:r w:rsidR="006C124D" w:rsidRPr="00085953">
        <w:rPr>
          <w:rFonts w:ascii="Arial" w:hAnsi="Arial" w:cs="Arial"/>
          <w:sz w:val="24"/>
          <w:szCs w:val="24"/>
        </w:rPr>
        <w:t xml:space="preserve">But where there turns out to be a serious argument in relation to regulation 35, the provision of the basic information about the more demanding types of work-related activity would enable the First-tier Tribunal to make the necessary predictions by reference to possible outcomes for the </w:t>
      </w:r>
      <w:proofErr w:type="gramStart"/>
      <w:r w:rsidR="006C124D" w:rsidRPr="00085953">
        <w:rPr>
          <w:rFonts w:ascii="Arial" w:hAnsi="Arial" w:cs="Arial"/>
          <w:sz w:val="24"/>
          <w:szCs w:val="24"/>
        </w:rPr>
        <w:t>particular claimant</w:t>
      </w:r>
      <w:proofErr w:type="gramEnd"/>
      <w:r w:rsidR="006C124D" w:rsidRPr="00085953">
        <w:rPr>
          <w:rFonts w:ascii="Arial" w:hAnsi="Arial" w:cs="Arial"/>
          <w:sz w:val="24"/>
          <w:szCs w:val="24"/>
        </w:rPr>
        <w:t>.</w:t>
      </w:r>
      <w:r w:rsidRPr="00085953">
        <w:rPr>
          <w:rFonts w:ascii="Arial" w:hAnsi="Arial" w:cs="Arial"/>
          <w:sz w:val="24"/>
          <w:szCs w:val="24"/>
        </w:rPr>
        <w:t>”</w:t>
      </w:r>
    </w:p>
    <w:p w14:paraId="5F320A5D" w14:textId="77777777" w:rsidR="0016557F" w:rsidRPr="00085953" w:rsidRDefault="0016557F" w:rsidP="00D54373">
      <w:pPr>
        <w:tabs>
          <w:tab w:val="left" w:pos="510"/>
          <w:tab w:val="left" w:pos="1077"/>
          <w:tab w:val="left" w:pos="1797"/>
        </w:tabs>
        <w:spacing w:after="0" w:line="240" w:lineRule="auto"/>
        <w:rPr>
          <w:rFonts w:ascii="Arial" w:hAnsi="Arial" w:cs="Arial"/>
          <w:sz w:val="24"/>
          <w:szCs w:val="24"/>
        </w:rPr>
      </w:pPr>
    </w:p>
    <w:p w14:paraId="1DC483D4" w14:textId="07374E17" w:rsidR="0016557F" w:rsidRPr="00085953" w:rsidRDefault="00F87D9B" w:rsidP="000551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17.</w:t>
      </w:r>
      <w:r>
        <w:rPr>
          <w:rFonts w:ascii="Arial" w:hAnsi="Arial" w:cs="Arial"/>
          <w:sz w:val="24"/>
          <w:szCs w:val="24"/>
        </w:rPr>
        <w:tab/>
      </w:r>
      <w:r w:rsidR="008D6D50" w:rsidRPr="00085953">
        <w:rPr>
          <w:rFonts w:ascii="Arial" w:hAnsi="Arial" w:cs="Arial"/>
          <w:sz w:val="24"/>
          <w:szCs w:val="24"/>
        </w:rPr>
        <w:t xml:space="preserve">Mr Woods submits </w:t>
      </w:r>
      <w:r w:rsidR="00525277" w:rsidRPr="00085953">
        <w:rPr>
          <w:rFonts w:ascii="Arial" w:hAnsi="Arial" w:cs="Arial"/>
          <w:sz w:val="24"/>
          <w:szCs w:val="24"/>
        </w:rPr>
        <w:t xml:space="preserve">that the risk </w:t>
      </w:r>
      <w:r w:rsidR="00FA02B3" w:rsidRPr="00085953">
        <w:rPr>
          <w:rFonts w:ascii="Arial" w:hAnsi="Arial" w:cs="Arial"/>
          <w:sz w:val="24"/>
          <w:szCs w:val="24"/>
        </w:rPr>
        <w:t>of</w:t>
      </w:r>
      <w:r w:rsidR="00525277" w:rsidRPr="00085953">
        <w:rPr>
          <w:rFonts w:ascii="Arial" w:hAnsi="Arial" w:cs="Arial"/>
          <w:sz w:val="24"/>
          <w:szCs w:val="24"/>
        </w:rPr>
        <w:t xml:space="preserve"> a sanction for </w:t>
      </w:r>
      <w:r w:rsidR="00D82392" w:rsidRPr="00085953">
        <w:rPr>
          <w:rFonts w:ascii="Arial" w:hAnsi="Arial" w:cs="Arial"/>
          <w:sz w:val="24"/>
          <w:szCs w:val="24"/>
        </w:rPr>
        <w:t>being</w:t>
      </w:r>
      <w:r w:rsidR="00525277" w:rsidRPr="00085953">
        <w:rPr>
          <w:rFonts w:ascii="Arial" w:hAnsi="Arial" w:cs="Arial"/>
          <w:sz w:val="24"/>
          <w:szCs w:val="24"/>
        </w:rPr>
        <w:t xml:space="preserve"> unable to carry </w:t>
      </w:r>
      <w:r w:rsidR="00D82392" w:rsidRPr="00085953">
        <w:rPr>
          <w:rFonts w:ascii="Arial" w:hAnsi="Arial" w:cs="Arial"/>
          <w:sz w:val="24"/>
          <w:szCs w:val="24"/>
        </w:rPr>
        <w:t>out an</w:t>
      </w:r>
      <w:r w:rsidR="00525277" w:rsidRPr="00085953">
        <w:rPr>
          <w:rFonts w:ascii="Arial" w:hAnsi="Arial" w:cs="Arial"/>
          <w:sz w:val="24"/>
          <w:szCs w:val="24"/>
        </w:rPr>
        <w:t xml:space="preserve"> activity </w:t>
      </w:r>
      <w:r w:rsidR="001E583C" w:rsidRPr="00085953">
        <w:rPr>
          <w:rFonts w:ascii="Arial" w:hAnsi="Arial" w:cs="Arial"/>
          <w:sz w:val="24"/>
          <w:szCs w:val="24"/>
        </w:rPr>
        <w:t>does not</w:t>
      </w:r>
      <w:r w:rsidR="00525277" w:rsidRPr="00085953">
        <w:rPr>
          <w:rFonts w:ascii="Arial" w:hAnsi="Arial" w:cs="Arial"/>
          <w:sz w:val="24"/>
          <w:szCs w:val="24"/>
        </w:rPr>
        <w:t xml:space="preserve"> imply that there would be a substantial risk t</w:t>
      </w:r>
      <w:r w:rsidR="00CF282B" w:rsidRPr="00085953">
        <w:rPr>
          <w:rFonts w:ascii="Arial" w:hAnsi="Arial" w:cs="Arial"/>
          <w:sz w:val="24"/>
          <w:szCs w:val="24"/>
        </w:rPr>
        <w:t>o</w:t>
      </w:r>
      <w:r w:rsidR="00525277" w:rsidRPr="00085953">
        <w:rPr>
          <w:rFonts w:ascii="Arial" w:hAnsi="Arial" w:cs="Arial"/>
          <w:sz w:val="24"/>
          <w:szCs w:val="24"/>
        </w:rPr>
        <w:t xml:space="preserve"> anyone’s </w:t>
      </w:r>
      <w:r w:rsidR="00727A17" w:rsidRPr="00085953">
        <w:rPr>
          <w:rFonts w:ascii="Arial" w:hAnsi="Arial" w:cs="Arial"/>
          <w:sz w:val="24"/>
          <w:szCs w:val="24"/>
        </w:rPr>
        <w:t xml:space="preserve">health. </w:t>
      </w:r>
      <w:r w:rsidR="00055138">
        <w:rPr>
          <w:rFonts w:ascii="Arial" w:hAnsi="Arial" w:cs="Arial"/>
          <w:sz w:val="24"/>
          <w:szCs w:val="24"/>
        </w:rPr>
        <w:t xml:space="preserve"> </w:t>
      </w:r>
      <w:r w:rsidR="00727A17" w:rsidRPr="00085953">
        <w:rPr>
          <w:rFonts w:ascii="Arial" w:hAnsi="Arial" w:cs="Arial"/>
          <w:sz w:val="24"/>
          <w:szCs w:val="24"/>
        </w:rPr>
        <w:t>I agree</w:t>
      </w:r>
      <w:r w:rsidR="00CF282B" w:rsidRPr="00085953">
        <w:rPr>
          <w:rFonts w:ascii="Arial" w:hAnsi="Arial" w:cs="Arial"/>
          <w:sz w:val="24"/>
          <w:szCs w:val="24"/>
        </w:rPr>
        <w:t xml:space="preserve"> to the extent that</w:t>
      </w:r>
      <w:r w:rsidR="00727A17" w:rsidRPr="00085953">
        <w:rPr>
          <w:rFonts w:ascii="Arial" w:hAnsi="Arial" w:cs="Arial"/>
          <w:sz w:val="24"/>
          <w:szCs w:val="24"/>
        </w:rPr>
        <w:t xml:space="preserve">, reading the </w:t>
      </w:r>
      <w:proofErr w:type="gramStart"/>
      <w:r w:rsidR="00D82392" w:rsidRPr="00085953">
        <w:rPr>
          <w:rFonts w:ascii="Arial" w:hAnsi="Arial" w:cs="Arial"/>
          <w:sz w:val="24"/>
          <w:szCs w:val="24"/>
        </w:rPr>
        <w:t>paragraph as</w:t>
      </w:r>
      <w:r w:rsidR="00727A17" w:rsidRPr="00085953">
        <w:rPr>
          <w:rFonts w:ascii="Arial" w:hAnsi="Arial" w:cs="Arial"/>
          <w:sz w:val="24"/>
          <w:szCs w:val="24"/>
        </w:rPr>
        <w:t xml:space="preserve"> a whole</w:t>
      </w:r>
      <w:r w:rsidR="00D674FE" w:rsidRPr="00085953">
        <w:rPr>
          <w:rFonts w:ascii="Arial" w:hAnsi="Arial" w:cs="Arial"/>
          <w:sz w:val="24"/>
          <w:szCs w:val="24"/>
        </w:rPr>
        <w:t>, the</w:t>
      </w:r>
      <w:proofErr w:type="gramEnd"/>
      <w:r w:rsidR="00D674FE" w:rsidRPr="00085953">
        <w:rPr>
          <w:rFonts w:ascii="Arial" w:hAnsi="Arial" w:cs="Arial"/>
          <w:sz w:val="24"/>
          <w:szCs w:val="24"/>
        </w:rPr>
        <w:t xml:space="preserve"> risk of </w:t>
      </w:r>
      <w:r w:rsidR="00D82392" w:rsidRPr="00085953">
        <w:rPr>
          <w:rFonts w:ascii="Arial" w:hAnsi="Arial" w:cs="Arial"/>
          <w:sz w:val="24"/>
          <w:szCs w:val="24"/>
        </w:rPr>
        <w:t>being</w:t>
      </w:r>
      <w:r w:rsidR="00D674FE" w:rsidRPr="00085953">
        <w:rPr>
          <w:rFonts w:ascii="Arial" w:hAnsi="Arial" w:cs="Arial"/>
          <w:sz w:val="24"/>
          <w:szCs w:val="24"/>
        </w:rPr>
        <w:t xml:space="preserve"> </w:t>
      </w:r>
      <w:r w:rsidR="001E583C" w:rsidRPr="00085953">
        <w:rPr>
          <w:rFonts w:ascii="Arial" w:hAnsi="Arial" w:cs="Arial"/>
          <w:sz w:val="24"/>
          <w:szCs w:val="24"/>
        </w:rPr>
        <w:t>sanctioned</w:t>
      </w:r>
      <w:r w:rsidR="00D674FE" w:rsidRPr="00085953">
        <w:rPr>
          <w:rFonts w:ascii="Arial" w:hAnsi="Arial" w:cs="Arial"/>
          <w:sz w:val="24"/>
          <w:szCs w:val="24"/>
        </w:rPr>
        <w:t xml:space="preserve"> does not </w:t>
      </w:r>
      <w:r w:rsidR="00CF282B" w:rsidRPr="00085953">
        <w:rPr>
          <w:rFonts w:ascii="Arial" w:hAnsi="Arial" w:cs="Arial"/>
          <w:sz w:val="24"/>
          <w:szCs w:val="24"/>
        </w:rPr>
        <w:t>“</w:t>
      </w:r>
      <w:r w:rsidR="00D674FE" w:rsidRPr="00085953">
        <w:rPr>
          <w:rFonts w:ascii="Arial" w:hAnsi="Arial" w:cs="Arial"/>
          <w:sz w:val="24"/>
          <w:szCs w:val="24"/>
        </w:rPr>
        <w:t xml:space="preserve">necessarily imply” </w:t>
      </w:r>
      <w:r w:rsidR="00D82392" w:rsidRPr="00085953">
        <w:rPr>
          <w:rFonts w:ascii="Arial" w:hAnsi="Arial" w:cs="Arial"/>
          <w:sz w:val="24"/>
          <w:szCs w:val="24"/>
        </w:rPr>
        <w:t>that there</w:t>
      </w:r>
      <w:r w:rsidR="00D674FE" w:rsidRPr="00085953">
        <w:rPr>
          <w:rFonts w:ascii="Arial" w:hAnsi="Arial" w:cs="Arial"/>
          <w:sz w:val="24"/>
          <w:szCs w:val="24"/>
        </w:rPr>
        <w:t xml:space="preserve"> will be a substantial </w:t>
      </w:r>
      <w:r w:rsidR="00891B94" w:rsidRPr="00085953">
        <w:rPr>
          <w:rFonts w:ascii="Arial" w:hAnsi="Arial" w:cs="Arial"/>
          <w:sz w:val="24"/>
          <w:szCs w:val="24"/>
        </w:rPr>
        <w:t>risk to anyone’s health.</w:t>
      </w:r>
      <w:r w:rsidR="007B3682" w:rsidRPr="00085953">
        <w:rPr>
          <w:rFonts w:ascii="Arial" w:hAnsi="Arial" w:cs="Arial"/>
          <w:sz w:val="24"/>
          <w:szCs w:val="24"/>
        </w:rPr>
        <w:t xml:space="preserve"> </w:t>
      </w:r>
      <w:r w:rsidR="00055138">
        <w:rPr>
          <w:rFonts w:ascii="Arial" w:hAnsi="Arial" w:cs="Arial"/>
          <w:sz w:val="24"/>
          <w:szCs w:val="24"/>
        </w:rPr>
        <w:t xml:space="preserve"> </w:t>
      </w:r>
      <w:r w:rsidR="007B3682" w:rsidRPr="00085953">
        <w:rPr>
          <w:rFonts w:ascii="Arial" w:hAnsi="Arial" w:cs="Arial"/>
          <w:sz w:val="24"/>
          <w:szCs w:val="24"/>
        </w:rPr>
        <w:t xml:space="preserve">However, it </w:t>
      </w:r>
      <w:r w:rsidR="00627158" w:rsidRPr="00085953">
        <w:rPr>
          <w:rFonts w:ascii="Arial" w:hAnsi="Arial" w:cs="Arial"/>
          <w:sz w:val="24"/>
          <w:szCs w:val="24"/>
        </w:rPr>
        <w:t xml:space="preserve">does </w:t>
      </w:r>
      <w:r w:rsidR="00D82392" w:rsidRPr="00085953">
        <w:rPr>
          <w:rFonts w:ascii="Arial" w:hAnsi="Arial" w:cs="Arial"/>
          <w:sz w:val="24"/>
          <w:szCs w:val="24"/>
        </w:rPr>
        <w:t>not</w:t>
      </w:r>
      <w:r w:rsidR="00627158" w:rsidRPr="00085953">
        <w:rPr>
          <w:rFonts w:ascii="Arial" w:hAnsi="Arial" w:cs="Arial"/>
          <w:sz w:val="24"/>
          <w:szCs w:val="24"/>
        </w:rPr>
        <w:t xml:space="preserve"> say th</w:t>
      </w:r>
      <w:r w:rsidR="000C0CD8" w:rsidRPr="00085953">
        <w:rPr>
          <w:rFonts w:ascii="Arial" w:hAnsi="Arial" w:cs="Arial"/>
          <w:sz w:val="24"/>
          <w:szCs w:val="24"/>
        </w:rPr>
        <w:t xml:space="preserve">at if a substantial risk to health could be shown to arise </w:t>
      </w:r>
      <w:proofErr w:type="gramStart"/>
      <w:r w:rsidR="000C0CD8" w:rsidRPr="00085953">
        <w:rPr>
          <w:rFonts w:ascii="Arial" w:hAnsi="Arial" w:cs="Arial"/>
          <w:sz w:val="24"/>
          <w:szCs w:val="24"/>
        </w:rPr>
        <w:t>as a result of</w:t>
      </w:r>
      <w:proofErr w:type="gramEnd"/>
      <w:r w:rsidR="000C0CD8" w:rsidRPr="00085953">
        <w:rPr>
          <w:rFonts w:ascii="Arial" w:hAnsi="Arial" w:cs="Arial"/>
          <w:sz w:val="24"/>
          <w:szCs w:val="24"/>
        </w:rPr>
        <w:t xml:space="preserve"> </w:t>
      </w:r>
      <w:r w:rsidR="00D82392" w:rsidRPr="00085953">
        <w:rPr>
          <w:rFonts w:ascii="Arial" w:hAnsi="Arial" w:cs="Arial"/>
          <w:sz w:val="24"/>
          <w:szCs w:val="24"/>
        </w:rPr>
        <w:t>being</w:t>
      </w:r>
      <w:r w:rsidR="000C0CD8" w:rsidRPr="00085953">
        <w:rPr>
          <w:rFonts w:ascii="Arial" w:hAnsi="Arial" w:cs="Arial"/>
          <w:sz w:val="24"/>
          <w:szCs w:val="24"/>
        </w:rPr>
        <w:t xml:space="preserve"> sanctioned, that would be irrelevant. </w:t>
      </w:r>
      <w:r w:rsidR="00CF282B" w:rsidRPr="00085953">
        <w:rPr>
          <w:rFonts w:ascii="Arial" w:hAnsi="Arial" w:cs="Arial"/>
          <w:sz w:val="24"/>
          <w:szCs w:val="24"/>
        </w:rPr>
        <w:t xml:space="preserve"> </w:t>
      </w:r>
      <w:r w:rsidR="000C0CD8" w:rsidRPr="00085953">
        <w:rPr>
          <w:rFonts w:ascii="Arial" w:hAnsi="Arial" w:cs="Arial"/>
          <w:sz w:val="24"/>
          <w:szCs w:val="24"/>
        </w:rPr>
        <w:t xml:space="preserve">Indeed, it would be odd if it were </w:t>
      </w:r>
      <w:r w:rsidR="00D82392" w:rsidRPr="00085953">
        <w:rPr>
          <w:rFonts w:ascii="Arial" w:hAnsi="Arial" w:cs="Arial"/>
          <w:sz w:val="24"/>
          <w:szCs w:val="24"/>
        </w:rPr>
        <w:t>to</w:t>
      </w:r>
      <w:r w:rsidR="000C0CD8" w:rsidRPr="00085953">
        <w:rPr>
          <w:rFonts w:ascii="Arial" w:hAnsi="Arial" w:cs="Arial"/>
          <w:sz w:val="24"/>
          <w:szCs w:val="24"/>
        </w:rPr>
        <w:t xml:space="preserve"> do </w:t>
      </w:r>
      <w:r w:rsidR="001E583C" w:rsidRPr="00085953">
        <w:rPr>
          <w:rFonts w:ascii="Arial" w:hAnsi="Arial" w:cs="Arial"/>
          <w:sz w:val="24"/>
          <w:szCs w:val="24"/>
        </w:rPr>
        <w:t>so, a</w:t>
      </w:r>
      <w:r w:rsidR="000C0CD8" w:rsidRPr="00085953">
        <w:rPr>
          <w:rFonts w:ascii="Arial" w:hAnsi="Arial" w:cs="Arial"/>
          <w:sz w:val="24"/>
          <w:szCs w:val="24"/>
        </w:rPr>
        <w:t>s</w:t>
      </w:r>
      <w:r w:rsidR="00CF282B" w:rsidRPr="00085953">
        <w:rPr>
          <w:rFonts w:ascii="Arial" w:hAnsi="Arial" w:cs="Arial"/>
          <w:sz w:val="24"/>
          <w:szCs w:val="24"/>
        </w:rPr>
        <w:t xml:space="preserve"> </w:t>
      </w:r>
      <w:r w:rsidR="000C0CD8" w:rsidRPr="00085953">
        <w:rPr>
          <w:rFonts w:ascii="Arial" w:hAnsi="Arial" w:cs="Arial"/>
          <w:sz w:val="24"/>
          <w:szCs w:val="24"/>
        </w:rPr>
        <w:t xml:space="preserve">it </w:t>
      </w:r>
      <w:r w:rsidR="00FC0B63" w:rsidRPr="00085953">
        <w:rPr>
          <w:rFonts w:ascii="Arial" w:hAnsi="Arial" w:cs="Arial"/>
          <w:sz w:val="24"/>
          <w:szCs w:val="24"/>
        </w:rPr>
        <w:t>would result</w:t>
      </w:r>
      <w:r w:rsidR="000C0CD8" w:rsidRPr="00085953">
        <w:rPr>
          <w:rFonts w:ascii="Arial" w:hAnsi="Arial" w:cs="Arial"/>
          <w:sz w:val="24"/>
          <w:szCs w:val="24"/>
        </w:rPr>
        <w:t xml:space="preserve"> in a </w:t>
      </w:r>
      <w:r w:rsidR="00AF5A20" w:rsidRPr="00085953">
        <w:rPr>
          <w:rFonts w:ascii="Arial" w:hAnsi="Arial" w:cs="Arial"/>
          <w:sz w:val="24"/>
          <w:szCs w:val="24"/>
        </w:rPr>
        <w:t xml:space="preserve">significantly </w:t>
      </w:r>
      <w:r w:rsidR="00FC0B63" w:rsidRPr="00085953">
        <w:rPr>
          <w:rFonts w:ascii="Arial" w:hAnsi="Arial" w:cs="Arial"/>
          <w:sz w:val="24"/>
          <w:szCs w:val="24"/>
        </w:rPr>
        <w:t>different</w:t>
      </w:r>
      <w:r w:rsidR="00AF5A20" w:rsidRPr="00085953">
        <w:rPr>
          <w:rFonts w:ascii="Arial" w:hAnsi="Arial" w:cs="Arial"/>
          <w:sz w:val="24"/>
          <w:szCs w:val="24"/>
        </w:rPr>
        <w:t xml:space="preserve"> approach to rulings on reg.29 of the Employment and </w:t>
      </w:r>
      <w:r w:rsidR="00FC0B63" w:rsidRPr="00085953">
        <w:rPr>
          <w:rFonts w:ascii="Arial" w:hAnsi="Arial" w:cs="Arial"/>
          <w:sz w:val="24"/>
          <w:szCs w:val="24"/>
        </w:rPr>
        <w:t>Support</w:t>
      </w:r>
      <w:r w:rsidR="00AF5A20" w:rsidRPr="00085953">
        <w:rPr>
          <w:rFonts w:ascii="Arial" w:hAnsi="Arial" w:cs="Arial"/>
          <w:sz w:val="24"/>
          <w:szCs w:val="24"/>
        </w:rPr>
        <w:t xml:space="preserve"> </w:t>
      </w:r>
      <w:r w:rsidR="00FC0B63" w:rsidRPr="00085953">
        <w:rPr>
          <w:rFonts w:ascii="Arial" w:hAnsi="Arial" w:cs="Arial"/>
          <w:sz w:val="24"/>
          <w:szCs w:val="24"/>
        </w:rPr>
        <w:t>Allowance</w:t>
      </w:r>
      <w:r w:rsidR="00AF5A20" w:rsidRPr="00085953">
        <w:rPr>
          <w:rFonts w:ascii="Arial" w:hAnsi="Arial" w:cs="Arial"/>
          <w:sz w:val="24"/>
          <w:szCs w:val="24"/>
        </w:rPr>
        <w:t xml:space="preserve"> </w:t>
      </w:r>
      <w:r w:rsidR="001E583C" w:rsidRPr="00085953">
        <w:rPr>
          <w:rFonts w:ascii="Arial" w:hAnsi="Arial" w:cs="Arial"/>
          <w:sz w:val="24"/>
          <w:szCs w:val="24"/>
        </w:rPr>
        <w:t>Regulations</w:t>
      </w:r>
      <w:r w:rsidR="00AF5A20" w:rsidRPr="00085953">
        <w:rPr>
          <w:rFonts w:ascii="Arial" w:hAnsi="Arial" w:cs="Arial"/>
          <w:sz w:val="24"/>
          <w:szCs w:val="24"/>
        </w:rPr>
        <w:t xml:space="preserve"> 2008, which </w:t>
      </w:r>
      <w:r w:rsidR="00CF282B" w:rsidRPr="00085953">
        <w:rPr>
          <w:rFonts w:ascii="Arial" w:hAnsi="Arial" w:cs="Arial"/>
          <w:sz w:val="24"/>
          <w:szCs w:val="24"/>
        </w:rPr>
        <w:t xml:space="preserve">was similarly </w:t>
      </w:r>
      <w:r w:rsidR="00FA02B3" w:rsidRPr="00085953">
        <w:rPr>
          <w:rFonts w:ascii="Arial" w:hAnsi="Arial" w:cs="Arial"/>
          <w:sz w:val="24"/>
          <w:szCs w:val="24"/>
        </w:rPr>
        <w:t xml:space="preserve">structured and </w:t>
      </w:r>
      <w:r w:rsidR="00AF5A20" w:rsidRPr="00085953">
        <w:rPr>
          <w:rFonts w:ascii="Arial" w:hAnsi="Arial" w:cs="Arial"/>
          <w:sz w:val="24"/>
          <w:szCs w:val="24"/>
        </w:rPr>
        <w:t>concerned</w:t>
      </w:r>
      <w:r w:rsidR="008F1E09" w:rsidRPr="00085953">
        <w:rPr>
          <w:rFonts w:ascii="Arial" w:hAnsi="Arial" w:cs="Arial"/>
          <w:sz w:val="24"/>
          <w:szCs w:val="24"/>
        </w:rPr>
        <w:t xml:space="preserve"> the conditions for treating someone as </w:t>
      </w:r>
      <w:r w:rsidR="00FC0B63" w:rsidRPr="00085953">
        <w:rPr>
          <w:rFonts w:ascii="Arial" w:hAnsi="Arial" w:cs="Arial"/>
          <w:sz w:val="24"/>
          <w:szCs w:val="24"/>
        </w:rPr>
        <w:t>having</w:t>
      </w:r>
      <w:r w:rsidR="008F1E09" w:rsidRPr="00085953">
        <w:rPr>
          <w:rFonts w:ascii="Arial" w:hAnsi="Arial" w:cs="Arial"/>
          <w:sz w:val="24"/>
          <w:szCs w:val="24"/>
        </w:rPr>
        <w:t xml:space="preserve"> </w:t>
      </w:r>
      <w:r w:rsidR="00CF282B" w:rsidRPr="00085953">
        <w:rPr>
          <w:rFonts w:ascii="Arial" w:hAnsi="Arial" w:cs="Arial"/>
          <w:sz w:val="24"/>
          <w:szCs w:val="24"/>
        </w:rPr>
        <w:t>LCW</w:t>
      </w:r>
      <w:r w:rsidR="00795327" w:rsidRPr="00085953">
        <w:rPr>
          <w:rFonts w:ascii="Arial" w:hAnsi="Arial" w:cs="Arial"/>
          <w:sz w:val="24"/>
          <w:szCs w:val="24"/>
        </w:rPr>
        <w:t xml:space="preserve"> under “old-style” employment and </w:t>
      </w:r>
      <w:r w:rsidR="00FC0B63" w:rsidRPr="00085953">
        <w:rPr>
          <w:rFonts w:ascii="Arial" w:hAnsi="Arial" w:cs="Arial"/>
          <w:sz w:val="24"/>
          <w:szCs w:val="24"/>
        </w:rPr>
        <w:t>support</w:t>
      </w:r>
      <w:r w:rsidR="00795327" w:rsidRPr="00085953">
        <w:rPr>
          <w:rFonts w:ascii="Arial" w:hAnsi="Arial" w:cs="Arial"/>
          <w:sz w:val="24"/>
          <w:szCs w:val="24"/>
        </w:rPr>
        <w:t xml:space="preserve"> allowance</w:t>
      </w:r>
      <w:r w:rsidR="0049660A" w:rsidRPr="00085953">
        <w:rPr>
          <w:rFonts w:ascii="Arial" w:hAnsi="Arial" w:cs="Arial"/>
          <w:sz w:val="24"/>
          <w:szCs w:val="24"/>
        </w:rPr>
        <w:t xml:space="preserve">.  However, while not impossible, it would </w:t>
      </w:r>
      <w:r w:rsidR="00994F3B" w:rsidRPr="00085953">
        <w:rPr>
          <w:rFonts w:ascii="Arial" w:hAnsi="Arial" w:cs="Arial"/>
          <w:sz w:val="24"/>
          <w:szCs w:val="24"/>
        </w:rPr>
        <w:t xml:space="preserve">be an </w:t>
      </w:r>
      <w:r w:rsidR="00FC0B63" w:rsidRPr="00085953">
        <w:rPr>
          <w:rFonts w:ascii="Arial" w:hAnsi="Arial" w:cs="Arial"/>
          <w:sz w:val="24"/>
          <w:szCs w:val="24"/>
        </w:rPr>
        <w:t>unusual</w:t>
      </w:r>
      <w:r w:rsidR="00994F3B" w:rsidRPr="00085953">
        <w:rPr>
          <w:rFonts w:ascii="Arial" w:hAnsi="Arial" w:cs="Arial"/>
          <w:sz w:val="24"/>
          <w:szCs w:val="24"/>
        </w:rPr>
        <w:t xml:space="preserve"> case and would </w:t>
      </w:r>
      <w:r w:rsidR="0049660A" w:rsidRPr="00085953">
        <w:rPr>
          <w:rFonts w:ascii="Arial" w:hAnsi="Arial" w:cs="Arial"/>
          <w:sz w:val="24"/>
          <w:szCs w:val="24"/>
        </w:rPr>
        <w:t xml:space="preserve">require </w:t>
      </w:r>
      <w:r w:rsidR="001D7B8A" w:rsidRPr="00085953">
        <w:rPr>
          <w:rFonts w:ascii="Arial" w:hAnsi="Arial" w:cs="Arial"/>
          <w:sz w:val="24"/>
          <w:szCs w:val="24"/>
        </w:rPr>
        <w:t xml:space="preserve">compelling and specific evidence going to the fear of </w:t>
      </w:r>
      <w:r w:rsidR="00FC0B63" w:rsidRPr="00085953">
        <w:rPr>
          <w:rFonts w:ascii="Arial" w:hAnsi="Arial" w:cs="Arial"/>
          <w:sz w:val="24"/>
          <w:szCs w:val="24"/>
        </w:rPr>
        <w:t>being</w:t>
      </w:r>
      <w:r w:rsidR="001D7B8A" w:rsidRPr="00085953">
        <w:rPr>
          <w:rFonts w:ascii="Arial" w:hAnsi="Arial" w:cs="Arial"/>
          <w:sz w:val="24"/>
          <w:szCs w:val="24"/>
        </w:rPr>
        <w:t xml:space="preserve"> sanctioned and its consequences</w:t>
      </w:r>
      <w:r w:rsidR="00994F3B" w:rsidRPr="00085953">
        <w:rPr>
          <w:rFonts w:ascii="Arial" w:hAnsi="Arial" w:cs="Arial"/>
          <w:sz w:val="24"/>
          <w:szCs w:val="24"/>
        </w:rPr>
        <w:t xml:space="preserve">.  I have not been taken to (nor can find) </w:t>
      </w:r>
      <w:r w:rsidR="001C0893" w:rsidRPr="00085953">
        <w:rPr>
          <w:rFonts w:ascii="Arial" w:hAnsi="Arial" w:cs="Arial"/>
          <w:sz w:val="24"/>
          <w:szCs w:val="24"/>
        </w:rPr>
        <w:t xml:space="preserve">such evidence in this case and so refuse </w:t>
      </w:r>
      <w:r w:rsidR="00661041" w:rsidRPr="00085953">
        <w:rPr>
          <w:rFonts w:ascii="Arial" w:hAnsi="Arial" w:cs="Arial"/>
          <w:sz w:val="24"/>
          <w:szCs w:val="24"/>
        </w:rPr>
        <w:t>leave</w:t>
      </w:r>
      <w:r w:rsidR="001C0893" w:rsidRPr="00085953">
        <w:rPr>
          <w:rFonts w:ascii="Arial" w:hAnsi="Arial" w:cs="Arial"/>
          <w:sz w:val="24"/>
          <w:szCs w:val="24"/>
        </w:rPr>
        <w:t xml:space="preserve"> to appeal on this sub-ground.</w:t>
      </w:r>
    </w:p>
    <w:p w14:paraId="17022107" w14:textId="77777777" w:rsidR="0016557F" w:rsidRPr="00085953" w:rsidRDefault="0016557F" w:rsidP="00055138">
      <w:pPr>
        <w:tabs>
          <w:tab w:val="left" w:pos="510"/>
          <w:tab w:val="left" w:pos="1077"/>
          <w:tab w:val="left" w:pos="1797"/>
        </w:tabs>
        <w:spacing w:after="0" w:line="240" w:lineRule="auto"/>
        <w:ind w:left="510" w:hanging="510"/>
        <w:jc w:val="both"/>
        <w:rPr>
          <w:rFonts w:ascii="Arial" w:hAnsi="Arial" w:cs="Arial"/>
          <w:sz w:val="24"/>
          <w:szCs w:val="24"/>
        </w:rPr>
      </w:pPr>
    </w:p>
    <w:p w14:paraId="47B9C82F" w14:textId="08E39EF3" w:rsidR="0016557F" w:rsidRPr="00085953" w:rsidRDefault="00055138" w:rsidP="000551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18.</w:t>
      </w:r>
      <w:r>
        <w:rPr>
          <w:rFonts w:ascii="Arial" w:hAnsi="Arial" w:cs="Arial"/>
          <w:sz w:val="24"/>
          <w:szCs w:val="24"/>
        </w:rPr>
        <w:tab/>
      </w:r>
      <w:r w:rsidR="006B59A0" w:rsidRPr="00085953">
        <w:rPr>
          <w:rFonts w:ascii="Arial" w:hAnsi="Arial" w:cs="Arial"/>
          <w:sz w:val="24"/>
          <w:szCs w:val="24"/>
        </w:rPr>
        <w:t>I therefore give le</w:t>
      </w:r>
      <w:r w:rsidR="001303F4" w:rsidRPr="00085953">
        <w:rPr>
          <w:rFonts w:ascii="Arial" w:hAnsi="Arial" w:cs="Arial"/>
          <w:sz w:val="24"/>
          <w:szCs w:val="24"/>
        </w:rPr>
        <w:t>a</w:t>
      </w:r>
      <w:r w:rsidR="006B59A0" w:rsidRPr="00085953">
        <w:rPr>
          <w:rFonts w:ascii="Arial" w:hAnsi="Arial" w:cs="Arial"/>
          <w:sz w:val="24"/>
          <w:szCs w:val="24"/>
        </w:rPr>
        <w:t>ve to ap</w:t>
      </w:r>
      <w:r w:rsidR="001303F4" w:rsidRPr="00085953">
        <w:rPr>
          <w:rFonts w:ascii="Arial" w:hAnsi="Arial" w:cs="Arial"/>
          <w:sz w:val="24"/>
          <w:szCs w:val="24"/>
        </w:rPr>
        <w:t>p</w:t>
      </w:r>
      <w:r w:rsidR="006B59A0" w:rsidRPr="00085953">
        <w:rPr>
          <w:rFonts w:ascii="Arial" w:hAnsi="Arial" w:cs="Arial"/>
          <w:sz w:val="24"/>
          <w:szCs w:val="24"/>
        </w:rPr>
        <w:t>ea</w:t>
      </w:r>
      <w:r w:rsidR="001303F4" w:rsidRPr="00085953">
        <w:rPr>
          <w:rFonts w:ascii="Arial" w:hAnsi="Arial" w:cs="Arial"/>
          <w:sz w:val="24"/>
          <w:szCs w:val="24"/>
        </w:rPr>
        <w:t>l</w:t>
      </w:r>
      <w:r w:rsidR="006B59A0" w:rsidRPr="00085953">
        <w:rPr>
          <w:rFonts w:ascii="Arial" w:hAnsi="Arial" w:cs="Arial"/>
          <w:sz w:val="24"/>
          <w:szCs w:val="24"/>
        </w:rPr>
        <w:t xml:space="preserve"> </w:t>
      </w:r>
      <w:r w:rsidR="001C0893" w:rsidRPr="00085953">
        <w:rPr>
          <w:rFonts w:ascii="Arial" w:hAnsi="Arial" w:cs="Arial"/>
          <w:sz w:val="24"/>
          <w:szCs w:val="24"/>
        </w:rPr>
        <w:t xml:space="preserve">on the first three sub-grounds </w:t>
      </w:r>
      <w:r w:rsidR="006B59A0" w:rsidRPr="00085953">
        <w:rPr>
          <w:rFonts w:ascii="Arial" w:hAnsi="Arial" w:cs="Arial"/>
          <w:sz w:val="24"/>
          <w:szCs w:val="24"/>
        </w:rPr>
        <w:t>and allow the appeal, set</w:t>
      </w:r>
      <w:r w:rsidR="001303F4" w:rsidRPr="00085953">
        <w:rPr>
          <w:rFonts w:ascii="Arial" w:hAnsi="Arial" w:cs="Arial"/>
          <w:sz w:val="24"/>
          <w:szCs w:val="24"/>
        </w:rPr>
        <w:t>t</w:t>
      </w:r>
      <w:r w:rsidR="006B59A0" w:rsidRPr="00085953">
        <w:rPr>
          <w:rFonts w:ascii="Arial" w:hAnsi="Arial" w:cs="Arial"/>
          <w:sz w:val="24"/>
          <w:szCs w:val="24"/>
        </w:rPr>
        <w:t>in</w:t>
      </w:r>
      <w:r w:rsidR="001303F4" w:rsidRPr="00085953">
        <w:rPr>
          <w:rFonts w:ascii="Arial" w:hAnsi="Arial" w:cs="Arial"/>
          <w:sz w:val="24"/>
          <w:szCs w:val="24"/>
        </w:rPr>
        <w:t>g</w:t>
      </w:r>
      <w:r w:rsidR="006B59A0" w:rsidRPr="00085953">
        <w:rPr>
          <w:rFonts w:ascii="Arial" w:hAnsi="Arial" w:cs="Arial"/>
          <w:sz w:val="24"/>
          <w:szCs w:val="24"/>
        </w:rPr>
        <w:t xml:space="preserve"> the decision of</w:t>
      </w:r>
      <w:r w:rsidR="001303F4" w:rsidRPr="00085953">
        <w:rPr>
          <w:rFonts w:ascii="Arial" w:hAnsi="Arial" w:cs="Arial"/>
          <w:sz w:val="24"/>
          <w:szCs w:val="24"/>
        </w:rPr>
        <w:t xml:space="preserve"> </w:t>
      </w:r>
      <w:r w:rsidR="006B59A0" w:rsidRPr="00085953">
        <w:rPr>
          <w:rFonts w:ascii="Arial" w:hAnsi="Arial" w:cs="Arial"/>
          <w:sz w:val="24"/>
          <w:szCs w:val="24"/>
        </w:rPr>
        <w:t>the</w:t>
      </w:r>
      <w:r w:rsidR="001303F4" w:rsidRPr="00085953">
        <w:rPr>
          <w:rFonts w:ascii="Arial" w:hAnsi="Arial" w:cs="Arial"/>
          <w:sz w:val="24"/>
          <w:szCs w:val="24"/>
        </w:rPr>
        <w:t xml:space="preserve"> </w:t>
      </w:r>
      <w:r w:rsidR="00DC0BB5" w:rsidRPr="00085953">
        <w:rPr>
          <w:rFonts w:ascii="Arial" w:hAnsi="Arial" w:cs="Arial"/>
          <w:sz w:val="24"/>
          <w:szCs w:val="24"/>
        </w:rPr>
        <w:t>t</w:t>
      </w:r>
      <w:r w:rsidR="006B59A0" w:rsidRPr="00085953">
        <w:rPr>
          <w:rFonts w:ascii="Arial" w:hAnsi="Arial" w:cs="Arial"/>
          <w:sz w:val="24"/>
          <w:szCs w:val="24"/>
        </w:rPr>
        <w:t>ribunal aside.</w:t>
      </w:r>
    </w:p>
    <w:p w14:paraId="3D418738" w14:textId="77777777" w:rsidR="0016557F" w:rsidRPr="00085953" w:rsidRDefault="0016557F" w:rsidP="0005513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15ED4883" w14:textId="0EDA0149" w:rsidR="0016557F" w:rsidRPr="00085953" w:rsidRDefault="00055138" w:rsidP="000551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19.</w:t>
      </w:r>
      <w:r>
        <w:rPr>
          <w:rFonts w:ascii="Arial" w:hAnsi="Arial" w:cs="Arial"/>
          <w:sz w:val="24"/>
          <w:szCs w:val="24"/>
        </w:rPr>
        <w:tab/>
      </w:r>
      <w:r w:rsidR="00446C04" w:rsidRPr="00085953">
        <w:rPr>
          <w:rFonts w:ascii="Arial" w:hAnsi="Arial" w:cs="Arial"/>
          <w:sz w:val="24"/>
          <w:szCs w:val="24"/>
        </w:rPr>
        <w:t xml:space="preserve">This is not a case in which I </w:t>
      </w:r>
      <w:r w:rsidR="006B545A" w:rsidRPr="00085953">
        <w:rPr>
          <w:rFonts w:ascii="Arial" w:hAnsi="Arial" w:cs="Arial"/>
          <w:sz w:val="24"/>
          <w:szCs w:val="24"/>
        </w:rPr>
        <w:t>consider</w:t>
      </w:r>
      <w:r w:rsidR="00446C04" w:rsidRPr="00085953">
        <w:rPr>
          <w:rFonts w:ascii="Arial" w:hAnsi="Arial" w:cs="Arial"/>
          <w:sz w:val="24"/>
          <w:szCs w:val="24"/>
        </w:rPr>
        <w:t xml:space="preserve"> </w:t>
      </w:r>
      <w:r w:rsidR="006B545A" w:rsidRPr="00085953">
        <w:rPr>
          <w:rFonts w:ascii="Arial" w:hAnsi="Arial" w:cs="Arial"/>
          <w:sz w:val="24"/>
          <w:szCs w:val="24"/>
        </w:rPr>
        <w:t>it</w:t>
      </w:r>
      <w:r w:rsidR="00446C04" w:rsidRPr="00085953">
        <w:rPr>
          <w:rFonts w:ascii="Arial" w:hAnsi="Arial" w:cs="Arial"/>
          <w:sz w:val="24"/>
          <w:szCs w:val="24"/>
        </w:rPr>
        <w:t xml:space="preserve"> </w:t>
      </w:r>
      <w:r w:rsidR="006B545A" w:rsidRPr="00085953">
        <w:rPr>
          <w:rFonts w:ascii="Arial" w:hAnsi="Arial" w:cs="Arial"/>
          <w:sz w:val="24"/>
          <w:szCs w:val="24"/>
        </w:rPr>
        <w:t>expedient</w:t>
      </w:r>
      <w:r w:rsidR="00446C04" w:rsidRPr="00085953">
        <w:rPr>
          <w:rFonts w:ascii="Arial" w:hAnsi="Arial" w:cs="Arial"/>
          <w:sz w:val="24"/>
          <w:szCs w:val="24"/>
        </w:rPr>
        <w:t xml:space="preserve"> to remake the </w:t>
      </w:r>
      <w:r w:rsidR="006B545A" w:rsidRPr="00085953">
        <w:rPr>
          <w:rFonts w:ascii="Arial" w:hAnsi="Arial" w:cs="Arial"/>
          <w:sz w:val="24"/>
          <w:szCs w:val="24"/>
        </w:rPr>
        <w:t>decision</w:t>
      </w:r>
      <w:r w:rsidR="00446C04" w:rsidRPr="00085953">
        <w:rPr>
          <w:rFonts w:ascii="Arial" w:hAnsi="Arial" w:cs="Arial"/>
          <w:sz w:val="24"/>
          <w:szCs w:val="24"/>
        </w:rPr>
        <w:t xml:space="preserve"> myself</w:t>
      </w:r>
      <w:r w:rsidR="006B545A" w:rsidRPr="00085953">
        <w:rPr>
          <w:rFonts w:ascii="Arial" w:hAnsi="Arial" w:cs="Arial"/>
          <w:sz w:val="24"/>
          <w:szCs w:val="24"/>
        </w:rPr>
        <w:t xml:space="preserve">. </w:t>
      </w:r>
      <w:r w:rsidR="00446C04" w:rsidRPr="00085953">
        <w:rPr>
          <w:rFonts w:ascii="Arial" w:hAnsi="Arial" w:cs="Arial"/>
          <w:sz w:val="24"/>
          <w:szCs w:val="24"/>
        </w:rPr>
        <w:t xml:space="preserve"> </w:t>
      </w:r>
      <w:r w:rsidR="006B545A" w:rsidRPr="00085953">
        <w:rPr>
          <w:rFonts w:ascii="Arial" w:hAnsi="Arial" w:cs="Arial"/>
          <w:sz w:val="24"/>
          <w:szCs w:val="24"/>
        </w:rPr>
        <w:t>A</w:t>
      </w:r>
      <w:r w:rsidR="00446C04" w:rsidRPr="00085953">
        <w:rPr>
          <w:rFonts w:ascii="Arial" w:hAnsi="Arial" w:cs="Arial"/>
          <w:sz w:val="24"/>
          <w:szCs w:val="24"/>
        </w:rPr>
        <w:t xml:space="preserve">s </w:t>
      </w:r>
      <w:r w:rsidR="006B545A" w:rsidRPr="00085953">
        <w:rPr>
          <w:rFonts w:ascii="Arial" w:hAnsi="Arial" w:cs="Arial"/>
          <w:sz w:val="24"/>
          <w:szCs w:val="24"/>
        </w:rPr>
        <w:t>further</w:t>
      </w:r>
      <w:r w:rsidR="00446C04" w:rsidRPr="00085953">
        <w:rPr>
          <w:rFonts w:ascii="Arial" w:hAnsi="Arial" w:cs="Arial"/>
          <w:sz w:val="24"/>
          <w:szCs w:val="24"/>
        </w:rPr>
        <w:t xml:space="preserve"> findings </w:t>
      </w:r>
      <w:r w:rsidR="006B545A" w:rsidRPr="00085953">
        <w:rPr>
          <w:rFonts w:ascii="Arial" w:hAnsi="Arial" w:cs="Arial"/>
          <w:sz w:val="24"/>
          <w:szCs w:val="24"/>
        </w:rPr>
        <w:t>of f</w:t>
      </w:r>
      <w:r w:rsidR="00446C04" w:rsidRPr="00085953">
        <w:rPr>
          <w:rFonts w:ascii="Arial" w:hAnsi="Arial" w:cs="Arial"/>
          <w:sz w:val="24"/>
          <w:szCs w:val="24"/>
        </w:rPr>
        <w:t xml:space="preserve">act are </w:t>
      </w:r>
      <w:r w:rsidR="006B545A" w:rsidRPr="00085953">
        <w:rPr>
          <w:rFonts w:ascii="Arial" w:hAnsi="Arial" w:cs="Arial"/>
          <w:sz w:val="24"/>
          <w:szCs w:val="24"/>
        </w:rPr>
        <w:t xml:space="preserve">required, it </w:t>
      </w:r>
      <w:r w:rsidR="00446C04" w:rsidRPr="00085953">
        <w:rPr>
          <w:rFonts w:ascii="Arial" w:hAnsi="Arial" w:cs="Arial"/>
          <w:sz w:val="24"/>
          <w:szCs w:val="24"/>
        </w:rPr>
        <w:t>will be</w:t>
      </w:r>
      <w:r w:rsidR="006B545A" w:rsidRPr="00085953">
        <w:rPr>
          <w:rFonts w:ascii="Arial" w:hAnsi="Arial" w:cs="Arial"/>
          <w:sz w:val="24"/>
          <w:szCs w:val="24"/>
        </w:rPr>
        <w:t>st</w:t>
      </w:r>
      <w:r w:rsidR="00446C04" w:rsidRPr="00085953">
        <w:rPr>
          <w:rFonts w:ascii="Arial" w:hAnsi="Arial" w:cs="Arial"/>
          <w:sz w:val="24"/>
          <w:szCs w:val="24"/>
        </w:rPr>
        <w:t xml:space="preserve"> be made by a panel of the </w:t>
      </w:r>
      <w:r w:rsidR="00DC0BB5" w:rsidRPr="00085953">
        <w:rPr>
          <w:rFonts w:ascii="Arial" w:hAnsi="Arial" w:cs="Arial"/>
          <w:sz w:val="24"/>
          <w:szCs w:val="24"/>
        </w:rPr>
        <w:t>t</w:t>
      </w:r>
      <w:r w:rsidR="00446C04" w:rsidRPr="00085953">
        <w:rPr>
          <w:rFonts w:ascii="Arial" w:hAnsi="Arial" w:cs="Arial"/>
          <w:sz w:val="24"/>
          <w:szCs w:val="24"/>
        </w:rPr>
        <w:t xml:space="preserve">ribunal, which will </w:t>
      </w:r>
      <w:r w:rsidR="006B545A" w:rsidRPr="00085953">
        <w:rPr>
          <w:rFonts w:ascii="Arial" w:hAnsi="Arial" w:cs="Arial"/>
          <w:sz w:val="24"/>
          <w:szCs w:val="24"/>
        </w:rPr>
        <w:t xml:space="preserve">contain </w:t>
      </w:r>
      <w:r w:rsidR="00446C04" w:rsidRPr="00085953">
        <w:rPr>
          <w:rFonts w:ascii="Arial" w:hAnsi="Arial" w:cs="Arial"/>
          <w:sz w:val="24"/>
          <w:szCs w:val="24"/>
        </w:rPr>
        <w:t xml:space="preserve">a </w:t>
      </w:r>
      <w:r w:rsidR="006B545A" w:rsidRPr="00085953">
        <w:rPr>
          <w:rFonts w:ascii="Arial" w:hAnsi="Arial" w:cs="Arial"/>
          <w:sz w:val="24"/>
          <w:szCs w:val="24"/>
        </w:rPr>
        <w:t>Medically</w:t>
      </w:r>
      <w:r w:rsidR="00446C04" w:rsidRPr="00085953">
        <w:rPr>
          <w:rFonts w:ascii="Arial" w:hAnsi="Arial" w:cs="Arial"/>
          <w:sz w:val="24"/>
          <w:szCs w:val="24"/>
        </w:rPr>
        <w:t xml:space="preserve"> </w:t>
      </w:r>
      <w:r w:rsidR="006B545A" w:rsidRPr="00085953">
        <w:rPr>
          <w:rFonts w:ascii="Arial" w:hAnsi="Arial" w:cs="Arial"/>
          <w:sz w:val="24"/>
          <w:szCs w:val="24"/>
        </w:rPr>
        <w:t>Qualified</w:t>
      </w:r>
      <w:r w:rsidR="00446C04" w:rsidRPr="00085953">
        <w:rPr>
          <w:rFonts w:ascii="Arial" w:hAnsi="Arial" w:cs="Arial"/>
          <w:sz w:val="24"/>
          <w:szCs w:val="24"/>
        </w:rPr>
        <w:t xml:space="preserve"> </w:t>
      </w:r>
      <w:r w:rsidR="006B545A" w:rsidRPr="00085953">
        <w:rPr>
          <w:rFonts w:ascii="Arial" w:hAnsi="Arial" w:cs="Arial"/>
          <w:sz w:val="24"/>
          <w:szCs w:val="24"/>
        </w:rPr>
        <w:t>M</w:t>
      </w:r>
      <w:r w:rsidR="00446C04" w:rsidRPr="00085953">
        <w:rPr>
          <w:rFonts w:ascii="Arial" w:hAnsi="Arial" w:cs="Arial"/>
          <w:sz w:val="24"/>
          <w:szCs w:val="24"/>
        </w:rPr>
        <w:t xml:space="preserve">ember </w:t>
      </w:r>
      <w:r w:rsidR="002B22AD" w:rsidRPr="00085953">
        <w:rPr>
          <w:rFonts w:ascii="Arial" w:hAnsi="Arial" w:cs="Arial"/>
          <w:sz w:val="24"/>
          <w:szCs w:val="24"/>
        </w:rPr>
        <w:t>as well as a Legally Qualified Member.</w:t>
      </w:r>
    </w:p>
    <w:p w14:paraId="4B0382E9" w14:textId="77777777" w:rsidR="0016557F" w:rsidRPr="00085953" w:rsidRDefault="0016557F" w:rsidP="00055138">
      <w:pPr>
        <w:pStyle w:val="ListParagraph"/>
        <w:tabs>
          <w:tab w:val="left" w:pos="510"/>
          <w:tab w:val="left" w:pos="1077"/>
          <w:tab w:val="left" w:pos="1797"/>
        </w:tabs>
        <w:spacing w:after="0" w:line="240" w:lineRule="auto"/>
        <w:ind w:left="510" w:hanging="510"/>
        <w:jc w:val="both"/>
        <w:rPr>
          <w:rFonts w:ascii="Arial" w:hAnsi="Arial" w:cs="Arial"/>
          <w:sz w:val="24"/>
          <w:szCs w:val="24"/>
        </w:rPr>
      </w:pPr>
    </w:p>
    <w:p w14:paraId="60C1FCC2" w14:textId="613F7AF9" w:rsidR="006B545A" w:rsidRPr="00085953" w:rsidRDefault="00055138" w:rsidP="00055138">
      <w:pPr>
        <w:tabs>
          <w:tab w:val="left" w:pos="510"/>
          <w:tab w:val="left" w:pos="1077"/>
          <w:tab w:val="left" w:pos="1797"/>
        </w:tabs>
        <w:spacing w:after="0" w:line="240" w:lineRule="auto"/>
        <w:ind w:left="510" w:hanging="510"/>
        <w:jc w:val="both"/>
        <w:rPr>
          <w:rFonts w:ascii="Arial" w:hAnsi="Arial" w:cs="Arial"/>
          <w:sz w:val="24"/>
          <w:szCs w:val="24"/>
        </w:rPr>
      </w:pPr>
      <w:r>
        <w:rPr>
          <w:rFonts w:ascii="Arial" w:hAnsi="Arial" w:cs="Arial"/>
          <w:sz w:val="24"/>
          <w:szCs w:val="24"/>
        </w:rPr>
        <w:t>20.</w:t>
      </w:r>
      <w:r>
        <w:rPr>
          <w:rFonts w:ascii="Arial" w:hAnsi="Arial" w:cs="Arial"/>
          <w:sz w:val="24"/>
          <w:szCs w:val="24"/>
        </w:rPr>
        <w:tab/>
      </w:r>
      <w:r w:rsidR="006B545A" w:rsidRPr="00085953">
        <w:rPr>
          <w:rFonts w:ascii="Arial" w:hAnsi="Arial" w:cs="Arial"/>
          <w:sz w:val="24"/>
          <w:szCs w:val="24"/>
        </w:rPr>
        <w:t>The fact that this appeal has succeeded on a point of law carries no implication as to the likely outcome of the Appellant’s appeal against the Department’s decision, which is a matter for the new panel.</w:t>
      </w:r>
    </w:p>
    <w:p w14:paraId="0D0A8FB2" w14:textId="3A505C71" w:rsidR="00DC0BB5" w:rsidRPr="00085953" w:rsidRDefault="00055138" w:rsidP="00D54373">
      <w:pPr>
        <w:tabs>
          <w:tab w:val="left" w:pos="510"/>
          <w:tab w:val="left" w:pos="1077"/>
          <w:tab w:val="left" w:pos="1797"/>
        </w:tabs>
        <w:spacing w:after="0" w:line="240" w:lineRule="auto"/>
        <w:rPr>
          <w:rFonts w:ascii="Arial" w:hAnsi="Arial" w:cs="Arial"/>
          <w:sz w:val="24"/>
          <w:szCs w:val="24"/>
        </w:rPr>
      </w:pPr>
      <w:r w:rsidRPr="00085953">
        <w:rPr>
          <w:rFonts w:ascii="Arial" w:hAnsi="Arial" w:cs="Arial"/>
          <w:noProof/>
          <w:kern w:val="0"/>
          <w:sz w:val="24"/>
          <w:szCs w:val="24"/>
        </w:rPr>
        <w:drawing>
          <wp:anchor distT="0" distB="0" distL="114300" distR="114300" simplePos="0" relativeHeight="251658240" behindDoc="1" locked="0" layoutInCell="1" allowOverlap="1" wp14:anchorId="1457B5D6" wp14:editId="62EA89FB">
            <wp:simplePos x="0" y="0"/>
            <wp:positionH relativeFrom="column">
              <wp:posOffset>579755</wp:posOffset>
            </wp:positionH>
            <wp:positionV relativeFrom="paragraph">
              <wp:posOffset>71755</wp:posOffset>
            </wp:positionV>
            <wp:extent cx="2336800" cy="425450"/>
            <wp:effectExtent l="0" t="0" r="6350" b="0"/>
            <wp:wrapTight wrapText="bothSides">
              <wp:wrapPolygon edited="0">
                <wp:start x="0" y="0"/>
                <wp:lineTo x="0" y="20310"/>
                <wp:lineTo x="21483" y="20310"/>
                <wp:lineTo x="21483"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14584" b="15625"/>
                    <a:stretch/>
                  </pic:blipFill>
                  <pic:spPr bwMode="auto">
                    <a:xfrm>
                      <a:off x="0" y="0"/>
                      <a:ext cx="2336800" cy="42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93764BF" w14:textId="5DF5D099" w:rsidR="00DC0BB5" w:rsidRPr="00085953" w:rsidRDefault="00DC0BB5" w:rsidP="00D54373">
      <w:pPr>
        <w:tabs>
          <w:tab w:val="left" w:pos="510"/>
          <w:tab w:val="left" w:pos="1077"/>
          <w:tab w:val="left" w:pos="1797"/>
        </w:tabs>
        <w:spacing w:after="0" w:line="240" w:lineRule="auto"/>
        <w:rPr>
          <w:rFonts w:ascii="Arial" w:hAnsi="Arial" w:cs="Arial"/>
          <w:sz w:val="24"/>
          <w:szCs w:val="24"/>
        </w:rPr>
      </w:pPr>
    </w:p>
    <w:p w14:paraId="0D20DF5D" w14:textId="64B674F4" w:rsidR="00DC0BB5" w:rsidRPr="00085953" w:rsidRDefault="00DC0BB5" w:rsidP="00085953">
      <w:pPr>
        <w:spacing w:after="0" w:line="240" w:lineRule="auto"/>
        <w:rPr>
          <w:rFonts w:ascii="Arial" w:hAnsi="Arial" w:cs="Arial"/>
          <w:i/>
          <w:iCs/>
          <w:sz w:val="24"/>
          <w:szCs w:val="24"/>
        </w:rPr>
      </w:pPr>
    </w:p>
    <w:p w14:paraId="5AEF9AF4" w14:textId="3DC3BCF2" w:rsidR="00DC0BB5" w:rsidRPr="00055138" w:rsidRDefault="00DC0BB5" w:rsidP="00085953">
      <w:pPr>
        <w:spacing w:after="0" w:line="240" w:lineRule="auto"/>
        <w:rPr>
          <w:rFonts w:ascii="Arial" w:hAnsi="Arial" w:cs="Arial"/>
          <w:bCs/>
          <w:kern w:val="0"/>
          <w:sz w:val="24"/>
          <w:szCs w:val="24"/>
        </w:rPr>
      </w:pPr>
      <w:r w:rsidRPr="00085953">
        <w:rPr>
          <w:rFonts w:ascii="Arial" w:hAnsi="Arial" w:cs="Arial"/>
          <w:kern w:val="0"/>
          <w:sz w:val="24"/>
          <w:szCs w:val="24"/>
        </w:rPr>
        <w:t>(Signed):</w:t>
      </w:r>
      <w:r w:rsidR="00055138">
        <w:rPr>
          <w:rFonts w:ascii="Arial" w:hAnsi="Arial" w:cs="Arial"/>
          <w:kern w:val="0"/>
          <w:sz w:val="24"/>
          <w:szCs w:val="24"/>
        </w:rPr>
        <w:t xml:space="preserve">  </w:t>
      </w:r>
      <w:r w:rsidRPr="00055138">
        <w:rPr>
          <w:rFonts w:ascii="Arial" w:hAnsi="Arial" w:cs="Arial"/>
          <w:bCs/>
          <w:kern w:val="0"/>
          <w:sz w:val="24"/>
          <w:szCs w:val="24"/>
        </w:rPr>
        <w:t>C G WARD</w:t>
      </w:r>
    </w:p>
    <w:p w14:paraId="7DCC1BA7" w14:textId="77777777" w:rsidR="00055138" w:rsidRPr="00055138" w:rsidRDefault="00055138" w:rsidP="00085953">
      <w:pPr>
        <w:spacing w:after="0" w:line="240" w:lineRule="auto"/>
        <w:rPr>
          <w:rFonts w:ascii="Arial" w:hAnsi="Arial" w:cs="Arial"/>
          <w:bCs/>
          <w:kern w:val="0"/>
          <w:sz w:val="24"/>
          <w:szCs w:val="24"/>
        </w:rPr>
      </w:pPr>
    </w:p>
    <w:p w14:paraId="35185ECE" w14:textId="7D854C46" w:rsidR="00DC0BB5" w:rsidRPr="00055138" w:rsidRDefault="00DC0BB5" w:rsidP="00085953">
      <w:pPr>
        <w:spacing w:after="0" w:line="240" w:lineRule="auto"/>
        <w:rPr>
          <w:rFonts w:ascii="Arial" w:hAnsi="Arial" w:cs="Arial"/>
          <w:bCs/>
          <w:kern w:val="0"/>
          <w:sz w:val="24"/>
          <w:szCs w:val="24"/>
        </w:rPr>
      </w:pPr>
      <w:r w:rsidRPr="00055138">
        <w:rPr>
          <w:rFonts w:ascii="Arial" w:hAnsi="Arial" w:cs="Arial"/>
          <w:bCs/>
          <w:kern w:val="0"/>
          <w:sz w:val="24"/>
          <w:szCs w:val="24"/>
        </w:rPr>
        <w:t>DEPUTY COMMISSIONER (NI)</w:t>
      </w:r>
    </w:p>
    <w:p w14:paraId="02F9C85A" w14:textId="77777777" w:rsidR="00DC0BB5" w:rsidRDefault="00DC0BB5" w:rsidP="00085953">
      <w:pPr>
        <w:spacing w:after="0" w:line="240" w:lineRule="auto"/>
        <w:rPr>
          <w:rFonts w:ascii="Arial" w:hAnsi="Arial" w:cs="Arial"/>
          <w:kern w:val="0"/>
          <w:sz w:val="24"/>
          <w:szCs w:val="24"/>
        </w:rPr>
      </w:pPr>
    </w:p>
    <w:p w14:paraId="5E39984F" w14:textId="77777777" w:rsidR="00055138" w:rsidRDefault="00055138" w:rsidP="00085953">
      <w:pPr>
        <w:spacing w:after="0" w:line="240" w:lineRule="auto"/>
        <w:rPr>
          <w:rFonts w:ascii="Arial" w:hAnsi="Arial" w:cs="Arial"/>
          <w:kern w:val="0"/>
          <w:sz w:val="24"/>
          <w:szCs w:val="24"/>
        </w:rPr>
      </w:pPr>
    </w:p>
    <w:p w14:paraId="06C65B01" w14:textId="77777777" w:rsidR="00055138" w:rsidRPr="00085953" w:rsidRDefault="00055138" w:rsidP="00085953">
      <w:pPr>
        <w:spacing w:after="0" w:line="240" w:lineRule="auto"/>
        <w:rPr>
          <w:rFonts w:ascii="Arial" w:hAnsi="Arial" w:cs="Arial"/>
          <w:kern w:val="0"/>
          <w:sz w:val="24"/>
          <w:szCs w:val="24"/>
        </w:rPr>
      </w:pPr>
    </w:p>
    <w:p w14:paraId="4387CB0F" w14:textId="429B1789" w:rsidR="006B545A" w:rsidRPr="00085953" w:rsidRDefault="00897A8D" w:rsidP="00085953">
      <w:pPr>
        <w:spacing w:after="0" w:line="240" w:lineRule="auto"/>
        <w:rPr>
          <w:rFonts w:ascii="Arial" w:hAnsi="Arial" w:cs="Arial"/>
          <w:sz w:val="24"/>
          <w:szCs w:val="24"/>
        </w:rPr>
      </w:pPr>
      <w:r w:rsidRPr="00085953">
        <w:rPr>
          <w:rFonts w:ascii="Arial" w:hAnsi="Arial" w:cs="Arial"/>
          <w:kern w:val="0"/>
          <w:sz w:val="24"/>
          <w:szCs w:val="24"/>
        </w:rPr>
        <w:t>5 February 2025</w:t>
      </w:r>
    </w:p>
    <w:sectPr w:rsidR="006B545A" w:rsidRPr="00085953" w:rsidSect="00085953">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F9FA22" w14:textId="77777777" w:rsidR="00E35E95" w:rsidRDefault="00E35E95" w:rsidP="00DC0BB5">
      <w:pPr>
        <w:spacing w:after="0" w:line="240" w:lineRule="auto"/>
      </w:pPr>
      <w:r>
        <w:separator/>
      </w:r>
    </w:p>
  </w:endnote>
  <w:endnote w:type="continuationSeparator" w:id="0">
    <w:p w14:paraId="0DAD5C63" w14:textId="77777777" w:rsidR="00E35E95" w:rsidRDefault="00E35E95" w:rsidP="00DC0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6BEE7" w14:textId="075AB1B4" w:rsidR="00DC0BB5" w:rsidRPr="00D54373" w:rsidRDefault="00DC0BB5" w:rsidP="00D54373">
    <w:pPr>
      <w:pStyle w:val="Footer"/>
      <w:jc w:val="center"/>
      <w:rPr>
        <w:rFonts w:ascii="Arial" w:hAnsi="Arial" w:cs="Arial"/>
        <w:sz w:val="24"/>
        <w:szCs w:val="24"/>
      </w:rPr>
    </w:pPr>
    <w:r w:rsidRPr="00D54373">
      <w:rPr>
        <w:rFonts w:ascii="Arial" w:hAnsi="Arial" w:cs="Arial"/>
        <w:sz w:val="24"/>
        <w:szCs w:val="24"/>
      </w:rPr>
      <w:fldChar w:fldCharType="begin"/>
    </w:r>
    <w:r w:rsidRPr="00D54373">
      <w:rPr>
        <w:rFonts w:ascii="Arial" w:hAnsi="Arial" w:cs="Arial"/>
        <w:sz w:val="24"/>
        <w:szCs w:val="24"/>
      </w:rPr>
      <w:instrText xml:space="preserve"> PAGE   \* MERGEFORMAT </w:instrText>
    </w:r>
    <w:r w:rsidRPr="00D54373">
      <w:rPr>
        <w:rFonts w:ascii="Arial" w:hAnsi="Arial" w:cs="Arial"/>
        <w:sz w:val="24"/>
        <w:szCs w:val="24"/>
      </w:rPr>
      <w:fldChar w:fldCharType="separate"/>
    </w:r>
    <w:r w:rsidRPr="00D54373">
      <w:rPr>
        <w:rFonts w:ascii="Arial" w:hAnsi="Arial" w:cs="Arial"/>
        <w:noProof/>
        <w:sz w:val="24"/>
        <w:szCs w:val="24"/>
      </w:rPr>
      <w:t>2</w:t>
    </w:r>
    <w:r w:rsidRPr="00D54373">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595AF" w14:textId="77777777" w:rsidR="00E35E95" w:rsidRDefault="00E35E95" w:rsidP="00DC0BB5">
      <w:pPr>
        <w:spacing w:after="0" w:line="240" w:lineRule="auto"/>
      </w:pPr>
      <w:r>
        <w:separator/>
      </w:r>
    </w:p>
  </w:footnote>
  <w:footnote w:type="continuationSeparator" w:id="0">
    <w:p w14:paraId="09731167" w14:textId="77777777" w:rsidR="00E35E95" w:rsidRDefault="00E35E95" w:rsidP="00DC0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5B511F"/>
    <w:multiLevelType w:val="hybridMultilevel"/>
    <w:tmpl w:val="A3E89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97920F3"/>
    <w:multiLevelType w:val="hybridMultilevel"/>
    <w:tmpl w:val="A476BC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CA5495"/>
    <w:multiLevelType w:val="hybridMultilevel"/>
    <w:tmpl w:val="E8025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8351189">
    <w:abstractNumId w:val="2"/>
  </w:num>
  <w:num w:numId="2" w16cid:durableId="1432551778">
    <w:abstractNumId w:val="0"/>
  </w:num>
  <w:num w:numId="3" w16cid:durableId="1039668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06"/>
    <w:rsid w:val="00005A65"/>
    <w:rsid w:val="00037174"/>
    <w:rsid w:val="0004394B"/>
    <w:rsid w:val="000472E6"/>
    <w:rsid w:val="00055138"/>
    <w:rsid w:val="00055E63"/>
    <w:rsid w:val="00084632"/>
    <w:rsid w:val="00085953"/>
    <w:rsid w:val="0009583E"/>
    <w:rsid w:val="00097B5C"/>
    <w:rsid w:val="000A63CE"/>
    <w:rsid w:val="000C0CD8"/>
    <w:rsid w:val="000C599B"/>
    <w:rsid w:val="000C6569"/>
    <w:rsid w:val="000D3C0D"/>
    <w:rsid w:val="000E1E18"/>
    <w:rsid w:val="00113BE3"/>
    <w:rsid w:val="001303F4"/>
    <w:rsid w:val="00132428"/>
    <w:rsid w:val="00141EC1"/>
    <w:rsid w:val="001443B5"/>
    <w:rsid w:val="00144821"/>
    <w:rsid w:val="001473D2"/>
    <w:rsid w:val="0016557F"/>
    <w:rsid w:val="001B5523"/>
    <w:rsid w:val="001C0893"/>
    <w:rsid w:val="001C0D3A"/>
    <w:rsid w:val="001D7B8A"/>
    <w:rsid w:val="001E583C"/>
    <w:rsid w:val="001F539F"/>
    <w:rsid w:val="001F5FC8"/>
    <w:rsid w:val="00233BB1"/>
    <w:rsid w:val="00235CDE"/>
    <w:rsid w:val="002416A8"/>
    <w:rsid w:val="00271DEB"/>
    <w:rsid w:val="00285561"/>
    <w:rsid w:val="00290F44"/>
    <w:rsid w:val="002967E2"/>
    <w:rsid w:val="002A5687"/>
    <w:rsid w:val="002B0A69"/>
    <w:rsid w:val="002B22AD"/>
    <w:rsid w:val="002B520B"/>
    <w:rsid w:val="002C42ED"/>
    <w:rsid w:val="002C75D6"/>
    <w:rsid w:val="002D37C4"/>
    <w:rsid w:val="002D467E"/>
    <w:rsid w:val="002E38E2"/>
    <w:rsid w:val="002E40FB"/>
    <w:rsid w:val="002F5170"/>
    <w:rsid w:val="00312966"/>
    <w:rsid w:val="003330C3"/>
    <w:rsid w:val="00350B2A"/>
    <w:rsid w:val="00362147"/>
    <w:rsid w:val="0039678B"/>
    <w:rsid w:val="003B18F4"/>
    <w:rsid w:val="003B672D"/>
    <w:rsid w:val="003D01FD"/>
    <w:rsid w:val="003D764D"/>
    <w:rsid w:val="0040090B"/>
    <w:rsid w:val="0040181B"/>
    <w:rsid w:val="00403D13"/>
    <w:rsid w:val="0040657A"/>
    <w:rsid w:val="004107EC"/>
    <w:rsid w:val="00414F52"/>
    <w:rsid w:val="004368C5"/>
    <w:rsid w:val="004420AD"/>
    <w:rsid w:val="00446C04"/>
    <w:rsid w:val="00467F81"/>
    <w:rsid w:val="00471270"/>
    <w:rsid w:val="00482D8E"/>
    <w:rsid w:val="0049660A"/>
    <w:rsid w:val="00497273"/>
    <w:rsid w:val="004A6293"/>
    <w:rsid w:val="004B1975"/>
    <w:rsid w:val="004B29B3"/>
    <w:rsid w:val="004C05FD"/>
    <w:rsid w:val="004E30C2"/>
    <w:rsid w:val="004F3E8D"/>
    <w:rsid w:val="004F43E3"/>
    <w:rsid w:val="004F4D5E"/>
    <w:rsid w:val="005030BD"/>
    <w:rsid w:val="00525277"/>
    <w:rsid w:val="0052745F"/>
    <w:rsid w:val="0056001B"/>
    <w:rsid w:val="0056358C"/>
    <w:rsid w:val="005672FF"/>
    <w:rsid w:val="00573F18"/>
    <w:rsid w:val="00576A5B"/>
    <w:rsid w:val="00580457"/>
    <w:rsid w:val="005814E4"/>
    <w:rsid w:val="00595BC9"/>
    <w:rsid w:val="005A1A14"/>
    <w:rsid w:val="005B5517"/>
    <w:rsid w:val="005C2EF0"/>
    <w:rsid w:val="005D1503"/>
    <w:rsid w:val="005D4792"/>
    <w:rsid w:val="00603CC3"/>
    <w:rsid w:val="00624CD3"/>
    <w:rsid w:val="00627158"/>
    <w:rsid w:val="00643020"/>
    <w:rsid w:val="00656254"/>
    <w:rsid w:val="00661041"/>
    <w:rsid w:val="00664D62"/>
    <w:rsid w:val="006677BC"/>
    <w:rsid w:val="00675559"/>
    <w:rsid w:val="00694225"/>
    <w:rsid w:val="006A254A"/>
    <w:rsid w:val="006A37BE"/>
    <w:rsid w:val="006A55F4"/>
    <w:rsid w:val="006A6B2C"/>
    <w:rsid w:val="006B4868"/>
    <w:rsid w:val="006B545A"/>
    <w:rsid w:val="006B59A0"/>
    <w:rsid w:val="006C124D"/>
    <w:rsid w:val="006C255B"/>
    <w:rsid w:val="006E41FE"/>
    <w:rsid w:val="006E75F6"/>
    <w:rsid w:val="006E78EF"/>
    <w:rsid w:val="006F5DF6"/>
    <w:rsid w:val="00700EAC"/>
    <w:rsid w:val="00706F62"/>
    <w:rsid w:val="00715157"/>
    <w:rsid w:val="007167B2"/>
    <w:rsid w:val="00717E8F"/>
    <w:rsid w:val="00725E06"/>
    <w:rsid w:val="00726CB3"/>
    <w:rsid w:val="00727369"/>
    <w:rsid w:val="00727A17"/>
    <w:rsid w:val="00750C66"/>
    <w:rsid w:val="00764AB3"/>
    <w:rsid w:val="007926AA"/>
    <w:rsid w:val="00792F66"/>
    <w:rsid w:val="007930A2"/>
    <w:rsid w:val="00795327"/>
    <w:rsid w:val="007A0F96"/>
    <w:rsid w:val="007A75CC"/>
    <w:rsid w:val="007B2CC8"/>
    <w:rsid w:val="007B3682"/>
    <w:rsid w:val="007B5CBC"/>
    <w:rsid w:val="007C2FCD"/>
    <w:rsid w:val="007C6520"/>
    <w:rsid w:val="007D14C6"/>
    <w:rsid w:val="007E4563"/>
    <w:rsid w:val="007E60C6"/>
    <w:rsid w:val="008207E3"/>
    <w:rsid w:val="008410FA"/>
    <w:rsid w:val="00841F12"/>
    <w:rsid w:val="008540AF"/>
    <w:rsid w:val="00871490"/>
    <w:rsid w:val="008862AF"/>
    <w:rsid w:val="00891B94"/>
    <w:rsid w:val="00892636"/>
    <w:rsid w:val="00897A15"/>
    <w:rsid w:val="00897A8D"/>
    <w:rsid w:val="008B4D1E"/>
    <w:rsid w:val="008C0D03"/>
    <w:rsid w:val="008D6D50"/>
    <w:rsid w:val="008E461B"/>
    <w:rsid w:val="008F1E09"/>
    <w:rsid w:val="008F2BC5"/>
    <w:rsid w:val="008F5C57"/>
    <w:rsid w:val="00911DB0"/>
    <w:rsid w:val="00930B54"/>
    <w:rsid w:val="00931AD1"/>
    <w:rsid w:val="00941D11"/>
    <w:rsid w:val="00942956"/>
    <w:rsid w:val="00952727"/>
    <w:rsid w:val="009627B1"/>
    <w:rsid w:val="009672BB"/>
    <w:rsid w:val="00974381"/>
    <w:rsid w:val="009809A0"/>
    <w:rsid w:val="00993D56"/>
    <w:rsid w:val="00994F3B"/>
    <w:rsid w:val="009A5240"/>
    <w:rsid w:val="009A7182"/>
    <w:rsid w:val="009B25DB"/>
    <w:rsid w:val="009C5868"/>
    <w:rsid w:val="009F1529"/>
    <w:rsid w:val="00A42566"/>
    <w:rsid w:val="00A46991"/>
    <w:rsid w:val="00A75429"/>
    <w:rsid w:val="00A75E43"/>
    <w:rsid w:val="00A806BD"/>
    <w:rsid w:val="00A92221"/>
    <w:rsid w:val="00AA27F2"/>
    <w:rsid w:val="00AA6BCB"/>
    <w:rsid w:val="00AC2518"/>
    <w:rsid w:val="00AC3A0A"/>
    <w:rsid w:val="00AC5CE6"/>
    <w:rsid w:val="00AF5A20"/>
    <w:rsid w:val="00B10C20"/>
    <w:rsid w:val="00B212FB"/>
    <w:rsid w:val="00B21CEC"/>
    <w:rsid w:val="00B4741E"/>
    <w:rsid w:val="00B47C03"/>
    <w:rsid w:val="00B62F7A"/>
    <w:rsid w:val="00B75C39"/>
    <w:rsid w:val="00B75CB0"/>
    <w:rsid w:val="00B767D0"/>
    <w:rsid w:val="00B76F18"/>
    <w:rsid w:val="00B7710D"/>
    <w:rsid w:val="00B91702"/>
    <w:rsid w:val="00BA4A90"/>
    <w:rsid w:val="00BB509E"/>
    <w:rsid w:val="00BB5359"/>
    <w:rsid w:val="00BC1489"/>
    <w:rsid w:val="00BC48B2"/>
    <w:rsid w:val="00BC7A05"/>
    <w:rsid w:val="00BD4A00"/>
    <w:rsid w:val="00C039D6"/>
    <w:rsid w:val="00C04432"/>
    <w:rsid w:val="00C07E78"/>
    <w:rsid w:val="00C13E1D"/>
    <w:rsid w:val="00C21B75"/>
    <w:rsid w:val="00C25ADE"/>
    <w:rsid w:val="00C64849"/>
    <w:rsid w:val="00C74379"/>
    <w:rsid w:val="00C923B4"/>
    <w:rsid w:val="00CA1B3E"/>
    <w:rsid w:val="00CA217C"/>
    <w:rsid w:val="00CB69BE"/>
    <w:rsid w:val="00CE08FC"/>
    <w:rsid w:val="00CE6F5E"/>
    <w:rsid w:val="00CF282B"/>
    <w:rsid w:val="00D066B3"/>
    <w:rsid w:val="00D510C3"/>
    <w:rsid w:val="00D54373"/>
    <w:rsid w:val="00D674FE"/>
    <w:rsid w:val="00D731C3"/>
    <w:rsid w:val="00D82392"/>
    <w:rsid w:val="00DA066D"/>
    <w:rsid w:val="00DA301D"/>
    <w:rsid w:val="00DB4D8A"/>
    <w:rsid w:val="00DB74E0"/>
    <w:rsid w:val="00DC0BB5"/>
    <w:rsid w:val="00DC1E19"/>
    <w:rsid w:val="00DE24D1"/>
    <w:rsid w:val="00DF273A"/>
    <w:rsid w:val="00E1282F"/>
    <w:rsid w:val="00E20886"/>
    <w:rsid w:val="00E33E3B"/>
    <w:rsid w:val="00E35E95"/>
    <w:rsid w:val="00E41D2E"/>
    <w:rsid w:val="00E4389B"/>
    <w:rsid w:val="00E51C8E"/>
    <w:rsid w:val="00E8469C"/>
    <w:rsid w:val="00E97B9A"/>
    <w:rsid w:val="00EA484B"/>
    <w:rsid w:val="00EA738C"/>
    <w:rsid w:val="00EB170A"/>
    <w:rsid w:val="00ED0522"/>
    <w:rsid w:val="00ED08D2"/>
    <w:rsid w:val="00ED49FF"/>
    <w:rsid w:val="00EE192D"/>
    <w:rsid w:val="00EE603E"/>
    <w:rsid w:val="00F07D03"/>
    <w:rsid w:val="00F20CBA"/>
    <w:rsid w:val="00F37791"/>
    <w:rsid w:val="00F47BE8"/>
    <w:rsid w:val="00F51512"/>
    <w:rsid w:val="00F834C5"/>
    <w:rsid w:val="00F87D9B"/>
    <w:rsid w:val="00F91036"/>
    <w:rsid w:val="00F91431"/>
    <w:rsid w:val="00FA02B3"/>
    <w:rsid w:val="00FA56BB"/>
    <w:rsid w:val="00FC0627"/>
    <w:rsid w:val="00FC0B63"/>
    <w:rsid w:val="00FF1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EDB2"/>
  <w15:chartTrackingRefBased/>
  <w15:docId w15:val="{162B8FC5-8C2C-4CC6-9DEC-16C6ED36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BB5"/>
    <w:pPr>
      <w:tabs>
        <w:tab w:val="center" w:pos="4513"/>
        <w:tab w:val="right" w:pos="9026"/>
      </w:tabs>
    </w:pPr>
  </w:style>
  <w:style w:type="character" w:customStyle="1" w:styleId="HeaderChar">
    <w:name w:val="Header Char"/>
    <w:link w:val="Header"/>
    <w:uiPriority w:val="99"/>
    <w:rsid w:val="00DC0BB5"/>
    <w:rPr>
      <w:kern w:val="2"/>
      <w:sz w:val="22"/>
      <w:szCs w:val="22"/>
      <w:lang w:eastAsia="en-US"/>
    </w:rPr>
  </w:style>
  <w:style w:type="paragraph" w:styleId="Footer">
    <w:name w:val="footer"/>
    <w:basedOn w:val="Normal"/>
    <w:link w:val="FooterChar"/>
    <w:uiPriority w:val="99"/>
    <w:unhideWhenUsed/>
    <w:rsid w:val="00DC0BB5"/>
    <w:pPr>
      <w:tabs>
        <w:tab w:val="center" w:pos="4513"/>
        <w:tab w:val="right" w:pos="9026"/>
      </w:tabs>
    </w:pPr>
  </w:style>
  <w:style w:type="character" w:customStyle="1" w:styleId="FooterChar">
    <w:name w:val="Footer Char"/>
    <w:link w:val="Footer"/>
    <w:uiPriority w:val="99"/>
    <w:rsid w:val="00DC0BB5"/>
    <w:rPr>
      <w:kern w:val="2"/>
      <w:sz w:val="22"/>
      <w:szCs w:val="22"/>
      <w:lang w:eastAsia="en-US"/>
    </w:rPr>
  </w:style>
  <w:style w:type="paragraph" w:styleId="ListParagraph">
    <w:name w:val="List Paragraph"/>
    <w:basedOn w:val="Normal"/>
    <w:uiPriority w:val="34"/>
    <w:qFormat/>
    <w:rsid w:val="00DC0BB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564534">
      <w:bodyDiv w:val="1"/>
      <w:marLeft w:val="0"/>
      <w:marRight w:val="0"/>
      <w:marTop w:val="0"/>
      <w:marBottom w:val="0"/>
      <w:divBdr>
        <w:top w:val="none" w:sz="0" w:space="0" w:color="auto"/>
        <w:left w:val="none" w:sz="0" w:space="0" w:color="auto"/>
        <w:bottom w:val="none" w:sz="0" w:space="0" w:color="auto"/>
        <w:right w:val="none" w:sz="0" w:space="0" w:color="auto"/>
      </w:divBdr>
    </w:div>
    <w:div w:id="871769642">
      <w:bodyDiv w:val="1"/>
      <w:marLeft w:val="0"/>
      <w:marRight w:val="0"/>
      <w:marTop w:val="0"/>
      <w:marBottom w:val="0"/>
      <w:divBdr>
        <w:top w:val="none" w:sz="0" w:space="0" w:color="auto"/>
        <w:left w:val="none" w:sz="0" w:space="0" w:color="auto"/>
        <w:bottom w:val="none" w:sz="0" w:space="0" w:color="auto"/>
        <w:right w:val="none" w:sz="0" w:space="0" w:color="auto"/>
      </w:divBdr>
    </w:div>
    <w:div w:id="2066709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1531</Words>
  <Characters>7534</Characters>
  <Application>Microsoft Office Word</Application>
  <DocSecurity>0</DocSecurity>
  <Lines>198</Lines>
  <Paragraphs>39</Paragraphs>
  <ScaleCrop>false</ScaleCrop>
  <HeadingPairs>
    <vt:vector size="2" baseType="variant">
      <vt:variant>
        <vt:lpstr>Title</vt:lpstr>
      </vt:variant>
      <vt:variant>
        <vt:i4>1</vt:i4>
      </vt:variant>
    </vt:vector>
  </HeadingPairs>
  <TitlesOfParts>
    <vt:vector size="1" baseType="lpstr">
      <vt:lpstr>C8/24-25(UC)</vt:lpstr>
    </vt:vector>
  </TitlesOfParts>
  <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C8/24-25(UC)</dc:title>
  <dc:subject/>
  <dc:creator>Bowman, Marie</dc:creator>
  <cp:keywords/>
  <dc:description/>
  <cp:lastModifiedBy>Bowman, Marie</cp:lastModifiedBy>
  <cp:revision>2</cp:revision>
  <cp:lastPrinted>2025-02-06T08:34:00Z</cp:lastPrinted>
  <dcterms:created xsi:type="dcterms:W3CDTF">2025-02-06T12:12:00Z</dcterms:created>
  <dcterms:modified xsi:type="dcterms:W3CDTF">2025-02-06T12:12:00Z</dcterms:modified>
</cp:coreProperties>
</file>