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4E0C" w14:textId="77777777" w:rsidR="00111CD0" w:rsidRPr="007A2401" w:rsidRDefault="00111CD0" w:rsidP="00111CD0">
      <w:pPr>
        <w:tabs>
          <w:tab w:val="right" w:pos="8789"/>
        </w:tabs>
        <w:spacing w:after="0" w:line="240" w:lineRule="auto"/>
        <w:rPr>
          <w:rFonts w:ascii="Arial" w:hAnsi="Arial" w:cs="Arial"/>
          <w:sz w:val="24"/>
          <w:szCs w:val="24"/>
        </w:rPr>
      </w:pPr>
      <w:r w:rsidRPr="007A2401">
        <w:rPr>
          <w:rFonts w:ascii="Arial" w:hAnsi="Arial" w:cs="Arial"/>
          <w:sz w:val="24"/>
          <w:szCs w:val="24"/>
        </w:rPr>
        <w:tab/>
        <w:t xml:space="preserve">Application No: </w:t>
      </w:r>
      <w:r>
        <w:rPr>
          <w:rFonts w:ascii="Arial" w:hAnsi="Arial" w:cs="Arial"/>
          <w:sz w:val="24"/>
          <w:szCs w:val="24"/>
        </w:rPr>
        <w:t xml:space="preserve"> </w:t>
      </w:r>
      <w:r w:rsidRPr="007A2401">
        <w:rPr>
          <w:rFonts w:ascii="Arial" w:hAnsi="Arial" w:cs="Arial"/>
          <w:sz w:val="24"/>
          <w:szCs w:val="24"/>
        </w:rPr>
        <w:t>A2/24-25 (ESA)</w:t>
      </w:r>
    </w:p>
    <w:p w14:paraId="798B05F0" w14:textId="77777777" w:rsidR="00111CD0" w:rsidRPr="007A2401" w:rsidRDefault="00111CD0" w:rsidP="00111CD0">
      <w:pPr>
        <w:spacing w:after="0" w:line="240" w:lineRule="auto"/>
        <w:rPr>
          <w:rFonts w:ascii="Arial" w:hAnsi="Arial" w:cs="Arial"/>
          <w:sz w:val="24"/>
          <w:szCs w:val="24"/>
        </w:rPr>
      </w:pPr>
    </w:p>
    <w:p w14:paraId="656FB163" w14:textId="77777777" w:rsidR="00111CD0" w:rsidRPr="007A2401" w:rsidRDefault="00111CD0" w:rsidP="00111CD0">
      <w:pPr>
        <w:spacing w:after="0" w:line="240" w:lineRule="auto"/>
        <w:rPr>
          <w:rFonts w:ascii="Arial" w:hAnsi="Arial" w:cs="Arial"/>
          <w:sz w:val="24"/>
          <w:szCs w:val="24"/>
        </w:rPr>
      </w:pPr>
    </w:p>
    <w:p w14:paraId="08F4FDB5" w14:textId="77777777" w:rsidR="00111CD0" w:rsidRPr="007A2401" w:rsidRDefault="00111CD0" w:rsidP="00111CD0">
      <w:pPr>
        <w:spacing w:after="0" w:line="240" w:lineRule="auto"/>
        <w:rPr>
          <w:rFonts w:ascii="Arial" w:hAnsi="Arial" w:cs="Arial"/>
          <w:sz w:val="24"/>
          <w:szCs w:val="24"/>
        </w:rPr>
      </w:pPr>
    </w:p>
    <w:p w14:paraId="39B5BAF5" w14:textId="77777777" w:rsidR="00111CD0" w:rsidRPr="007A2401" w:rsidRDefault="00111CD0" w:rsidP="00111CD0">
      <w:pPr>
        <w:spacing w:after="0" w:line="240" w:lineRule="auto"/>
        <w:rPr>
          <w:rFonts w:ascii="Arial" w:hAnsi="Arial" w:cs="Arial"/>
          <w:sz w:val="24"/>
          <w:szCs w:val="24"/>
        </w:rPr>
      </w:pPr>
    </w:p>
    <w:p w14:paraId="0BD2174F" w14:textId="77777777" w:rsidR="00111CD0" w:rsidRDefault="00111CD0" w:rsidP="00111CD0">
      <w:pPr>
        <w:suppressAutoHyphens/>
        <w:spacing w:after="0" w:line="240" w:lineRule="auto"/>
        <w:jc w:val="center"/>
        <w:rPr>
          <w:rFonts w:ascii="Arial" w:hAnsi="Arial" w:cs="Arial"/>
          <w:b/>
          <w:bCs/>
          <w:spacing w:val="-3"/>
          <w:sz w:val="24"/>
          <w:szCs w:val="24"/>
        </w:rPr>
      </w:pPr>
      <w:r w:rsidRPr="007A2401">
        <w:rPr>
          <w:rFonts w:ascii="Arial" w:hAnsi="Arial" w:cs="Arial"/>
          <w:b/>
          <w:bCs/>
          <w:spacing w:val="-3"/>
          <w:sz w:val="24"/>
          <w:szCs w:val="24"/>
        </w:rPr>
        <w:t>SOCIAL SECURITY ADMINISTRATION (NORTHERN IRELAND) ACT 1992</w:t>
      </w:r>
    </w:p>
    <w:p w14:paraId="15D4DE0F" w14:textId="77777777" w:rsidR="00111CD0" w:rsidRDefault="00111CD0" w:rsidP="00111CD0">
      <w:pPr>
        <w:suppressAutoHyphens/>
        <w:spacing w:after="0" w:line="240" w:lineRule="auto"/>
        <w:jc w:val="center"/>
        <w:rPr>
          <w:rFonts w:ascii="Arial" w:hAnsi="Arial" w:cs="Arial"/>
          <w:b/>
          <w:bCs/>
          <w:spacing w:val="-3"/>
          <w:sz w:val="24"/>
          <w:szCs w:val="24"/>
        </w:rPr>
      </w:pPr>
    </w:p>
    <w:p w14:paraId="2257AD4F" w14:textId="77777777" w:rsidR="00111CD0" w:rsidRPr="007A2401" w:rsidRDefault="00111CD0" w:rsidP="00111CD0">
      <w:pPr>
        <w:suppressAutoHyphens/>
        <w:spacing w:after="0" w:line="240" w:lineRule="auto"/>
        <w:jc w:val="center"/>
        <w:rPr>
          <w:rFonts w:ascii="Arial" w:hAnsi="Arial" w:cs="Arial"/>
          <w:b/>
          <w:bCs/>
          <w:spacing w:val="-3"/>
          <w:sz w:val="24"/>
          <w:szCs w:val="24"/>
        </w:rPr>
      </w:pPr>
      <w:r>
        <w:rPr>
          <w:rFonts w:ascii="Arial" w:hAnsi="Arial" w:cs="Arial"/>
          <w:b/>
          <w:bCs/>
          <w:spacing w:val="-3"/>
          <w:sz w:val="24"/>
          <w:szCs w:val="24"/>
        </w:rPr>
        <w:t>SOCIAL SECURITY (NORTHERN IRELAND) ORDER 1998</w:t>
      </w:r>
    </w:p>
    <w:p w14:paraId="18A06A98" w14:textId="77777777" w:rsidR="00111CD0" w:rsidRDefault="00111CD0" w:rsidP="00111CD0">
      <w:pPr>
        <w:suppressAutoHyphens/>
        <w:spacing w:after="0" w:line="240" w:lineRule="auto"/>
        <w:jc w:val="center"/>
        <w:rPr>
          <w:rFonts w:ascii="Arial" w:hAnsi="Arial" w:cs="Arial"/>
          <w:b/>
          <w:bCs/>
          <w:spacing w:val="-3"/>
          <w:sz w:val="24"/>
          <w:szCs w:val="24"/>
        </w:rPr>
      </w:pPr>
    </w:p>
    <w:p w14:paraId="5D261A37" w14:textId="77777777" w:rsidR="00111CD0" w:rsidRPr="007A2401" w:rsidRDefault="00111CD0" w:rsidP="00111CD0">
      <w:pPr>
        <w:suppressAutoHyphens/>
        <w:spacing w:after="0" w:line="240" w:lineRule="auto"/>
        <w:jc w:val="center"/>
        <w:rPr>
          <w:rFonts w:ascii="Arial" w:hAnsi="Arial" w:cs="Arial"/>
          <w:b/>
          <w:bCs/>
          <w:spacing w:val="-3"/>
          <w:sz w:val="24"/>
          <w:szCs w:val="24"/>
        </w:rPr>
      </w:pPr>
    </w:p>
    <w:p w14:paraId="19C89762" w14:textId="77777777" w:rsidR="00111CD0" w:rsidRPr="007A2401" w:rsidRDefault="00111CD0" w:rsidP="00111CD0">
      <w:pPr>
        <w:tabs>
          <w:tab w:val="center" w:pos="4513"/>
        </w:tabs>
        <w:suppressAutoHyphens/>
        <w:spacing w:after="0" w:line="240" w:lineRule="auto"/>
        <w:jc w:val="center"/>
        <w:rPr>
          <w:rFonts w:ascii="Arial" w:hAnsi="Arial" w:cs="Arial"/>
          <w:b/>
          <w:bCs/>
          <w:spacing w:val="-3"/>
          <w:sz w:val="24"/>
          <w:szCs w:val="24"/>
          <w:u w:val="single"/>
        </w:rPr>
      </w:pPr>
      <w:r w:rsidRPr="007A2401">
        <w:rPr>
          <w:rFonts w:ascii="Arial" w:hAnsi="Arial" w:cs="Arial"/>
          <w:b/>
          <w:bCs/>
          <w:spacing w:val="-3"/>
          <w:sz w:val="24"/>
          <w:szCs w:val="24"/>
          <w:u w:val="single"/>
        </w:rPr>
        <w:t>EMPLOYMENT SUPPORT ALLOWANCE</w:t>
      </w:r>
    </w:p>
    <w:p w14:paraId="3F64578E" w14:textId="77777777" w:rsidR="00111CD0" w:rsidRDefault="00111CD0" w:rsidP="00111CD0">
      <w:pPr>
        <w:tabs>
          <w:tab w:val="left" w:pos="-720"/>
        </w:tabs>
        <w:suppressAutoHyphens/>
        <w:spacing w:after="0" w:line="240" w:lineRule="auto"/>
        <w:jc w:val="center"/>
        <w:rPr>
          <w:rFonts w:ascii="Arial" w:hAnsi="Arial" w:cs="Arial"/>
          <w:spacing w:val="-3"/>
          <w:sz w:val="24"/>
          <w:szCs w:val="24"/>
        </w:rPr>
      </w:pPr>
    </w:p>
    <w:p w14:paraId="077FAAF8" w14:textId="77777777" w:rsidR="00111CD0" w:rsidRPr="007A2401" w:rsidRDefault="00111CD0" w:rsidP="00111CD0">
      <w:pPr>
        <w:tabs>
          <w:tab w:val="left" w:pos="-720"/>
        </w:tabs>
        <w:suppressAutoHyphens/>
        <w:spacing w:after="0" w:line="240" w:lineRule="auto"/>
        <w:jc w:val="center"/>
        <w:rPr>
          <w:rFonts w:ascii="Arial" w:hAnsi="Arial" w:cs="Arial"/>
          <w:spacing w:val="-3"/>
          <w:sz w:val="24"/>
          <w:szCs w:val="24"/>
        </w:rPr>
      </w:pPr>
    </w:p>
    <w:p w14:paraId="47CEB167" w14:textId="77777777" w:rsidR="00111CD0" w:rsidRPr="007A2401" w:rsidRDefault="00111CD0" w:rsidP="00111CD0">
      <w:pPr>
        <w:tabs>
          <w:tab w:val="center" w:pos="4513"/>
        </w:tabs>
        <w:suppressAutoHyphens/>
        <w:spacing w:after="0" w:line="240" w:lineRule="auto"/>
        <w:jc w:val="center"/>
        <w:rPr>
          <w:rFonts w:ascii="Arial" w:hAnsi="Arial" w:cs="Arial"/>
          <w:spacing w:val="-3"/>
          <w:sz w:val="24"/>
          <w:szCs w:val="24"/>
        </w:rPr>
      </w:pPr>
      <w:r w:rsidRPr="007A2401">
        <w:rPr>
          <w:rFonts w:ascii="Arial" w:hAnsi="Arial" w:cs="Arial"/>
          <w:spacing w:val="-3"/>
          <w:sz w:val="24"/>
          <w:szCs w:val="24"/>
        </w:rPr>
        <w:t>Application by the above-named claimant for</w:t>
      </w:r>
    </w:p>
    <w:p w14:paraId="5F7896EE" w14:textId="77777777" w:rsidR="00111CD0" w:rsidRPr="007A2401" w:rsidRDefault="00111CD0" w:rsidP="00111CD0">
      <w:pPr>
        <w:tabs>
          <w:tab w:val="center" w:pos="4513"/>
        </w:tabs>
        <w:suppressAutoHyphens/>
        <w:spacing w:after="0" w:line="240" w:lineRule="auto"/>
        <w:jc w:val="center"/>
        <w:rPr>
          <w:rFonts w:ascii="Arial" w:hAnsi="Arial" w:cs="Arial"/>
          <w:spacing w:val="-3"/>
          <w:sz w:val="24"/>
          <w:szCs w:val="24"/>
        </w:rPr>
      </w:pPr>
      <w:r w:rsidRPr="007A2401">
        <w:rPr>
          <w:rFonts w:ascii="Arial" w:hAnsi="Arial" w:cs="Arial"/>
          <w:spacing w:val="-3"/>
          <w:sz w:val="24"/>
          <w:szCs w:val="24"/>
        </w:rPr>
        <w:t>leave to appeal to a Social Security Commissioner</w:t>
      </w:r>
    </w:p>
    <w:p w14:paraId="3043127C" w14:textId="77777777" w:rsidR="00111CD0" w:rsidRPr="007A2401" w:rsidRDefault="00111CD0" w:rsidP="00111CD0">
      <w:pPr>
        <w:tabs>
          <w:tab w:val="center" w:pos="4513"/>
        </w:tabs>
        <w:suppressAutoHyphens/>
        <w:spacing w:after="0" w:line="240" w:lineRule="auto"/>
        <w:jc w:val="center"/>
        <w:rPr>
          <w:rFonts w:ascii="Arial" w:hAnsi="Arial" w:cs="Arial"/>
          <w:spacing w:val="-3"/>
          <w:sz w:val="24"/>
          <w:szCs w:val="24"/>
        </w:rPr>
      </w:pPr>
      <w:r w:rsidRPr="007A2401">
        <w:rPr>
          <w:rFonts w:ascii="Arial" w:hAnsi="Arial" w:cs="Arial"/>
          <w:spacing w:val="-3"/>
          <w:sz w:val="24"/>
          <w:szCs w:val="24"/>
        </w:rPr>
        <w:t>on a question of law from a tribunal's decision</w:t>
      </w:r>
    </w:p>
    <w:p w14:paraId="1828F9B6" w14:textId="77777777" w:rsidR="00111CD0" w:rsidRPr="007A2401" w:rsidRDefault="00111CD0" w:rsidP="00111CD0">
      <w:pPr>
        <w:tabs>
          <w:tab w:val="center" w:pos="4513"/>
        </w:tabs>
        <w:suppressAutoHyphens/>
        <w:spacing w:after="0" w:line="240" w:lineRule="auto"/>
        <w:jc w:val="center"/>
        <w:rPr>
          <w:rFonts w:ascii="Arial" w:hAnsi="Arial" w:cs="Arial"/>
          <w:spacing w:val="-3"/>
          <w:sz w:val="24"/>
          <w:szCs w:val="24"/>
        </w:rPr>
      </w:pPr>
      <w:r w:rsidRPr="007A2401">
        <w:rPr>
          <w:rFonts w:ascii="Arial" w:hAnsi="Arial" w:cs="Arial"/>
          <w:spacing w:val="-3"/>
          <w:sz w:val="24"/>
          <w:szCs w:val="24"/>
        </w:rPr>
        <w:t>dated 14 December 2023</w:t>
      </w:r>
    </w:p>
    <w:p w14:paraId="77008CB6" w14:textId="77777777" w:rsidR="00111CD0" w:rsidRDefault="00111CD0" w:rsidP="00111CD0">
      <w:pPr>
        <w:tabs>
          <w:tab w:val="left" w:pos="-720"/>
        </w:tabs>
        <w:suppressAutoHyphens/>
        <w:spacing w:after="0" w:line="240" w:lineRule="auto"/>
        <w:jc w:val="center"/>
        <w:rPr>
          <w:rFonts w:ascii="Arial" w:hAnsi="Arial" w:cs="Arial"/>
          <w:spacing w:val="-3"/>
          <w:sz w:val="24"/>
          <w:szCs w:val="24"/>
        </w:rPr>
      </w:pPr>
    </w:p>
    <w:p w14:paraId="6B231AE6" w14:textId="77777777" w:rsidR="00111CD0" w:rsidRPr="007A2401" w:rsidRDefault="00111CD0" w:rsidP="00111CD0">
      <w:pPr>
        <w:tabs>
          <w:tab w:val="left" w:pos="-720"/>
        </w:tabs>
        <w:suppressAutoHyphens/>
        <w:spacing w:after="0" w:line="240" w:lineRule="auto"/>
        <w:jc w:val="center"/>
        <w:rPr>
          <w:rFonts w:ascii="Arial" w:hAnsi="Arial" w:cs="Arial"/>
          <w:spacing w:val="-3"/>
          <w:sz w:val="24"/>
          <w:szCs w:val="24"/>
        </w:rPr>
      </w:pPr>
    </w:p>
    <w:p w14:paraId="3CCBE244" w14:textId="77777777" w:rsidR="00111CD0" w:rsidRPr="007A2401" w:rsidRDefault="00111CD0" w:rsidP="00111CD0">
      <w:pPr>
        <w:tabs>
          <w:tab w:val="center" w:pos="4513"/>
        </w:tabs>
        <w:suppressAutoHyphens/>
        <w:spacing w:after="0" w:line="240" w:lineRule="auto"/>
        <w:jc w:val="center"/>
        <w:rPr>
          <w:rFonts w:ascii="Arial" w:hAnsi="Arial" w:cs="Arial"/>
          <w:spacing w:val="-3"/>
          <w:sz w:val="24"/>
          <w:szCs w:val="24"/>
        </w:rPr>
      </w:pPr>
      <w:r w:rsidRPr="007A2401">
        <w:rPr>
          <w:rFonts w:ascii="Arial" w:hAnsi="Arial" w:cs="Arial"/>
          <w:spacing w:val="-3"/>
          <w:sz w:val="24"/>
          <w:szCs w:val="24"/>
          <w:u w:val="single"/>
        </w:rPr>
        <w:t>DETERMINATION OF THE SOCIAL SECURITY COMMISSIONER</w:t>
      </w:r>
    </w:p>
    <w:p w14:paraId="74B41627" w14:textId="77777777" w:rsidR="00111CD0" w:rsidRPr="007A2401" w:rsidRDefault="00111CD0" w:rsidP="00111CD0">
      <w:pPr>
        <w:spacing w:after="0" w:line="240" w:lineRule="auto"/>
        <w:rPr>
          <w:rFonts w:ascii="Arial" w:hAnsi="Arial" w:cs="Arial"/>
          <w:sz w:val="24"/>
          <w:szCs w:val="24"/>
        </w:rPr>
      </w:pPr>
    </w:p>
    <w:p w14:paraId="3BC2D300" w14:textId="77777777" w:rsidR="00111CD0" w:rsidRPr="007A2401" w:rsidRDefault="00111CD0" w:rsidP="00111CD0">
      <w:pPr>
        <w:spacing w:after="0" w:line="240" w:lineRule="auto"/>
        <w:rPr>
          <w:rFonts w:ascii="Arial" w:hAnsi="Arial" w:cs="Arial"/>
          <w:bCs/>
          <w:sz w:val="24"/>
          <w:szCs w:val="24"/>
        </w:rPr>
      </w:pPr>
    </w:p>
    <w:p w14:paraId="3C257227" w14:textId="77777777" w:rsidR="00111CD0" w:rsidRPr="007A2401" w:rsidRDefault="00111CD0" w:rsidP="00111CD0">
      <w:pPr>
        <w:spacing w:after="0" w:line="240" w:lineRule="auto"/>
        <w:rPr>
          <w:rFonts w:ascii="Arial" w:hAnsi="Arial" w:cs="Arial"/>
          <w:bCs/>
          <w:sz w:val="24"/>
          <w:szCs w:val="24"/>
        </w:rPr>
      </w:pPr>
      <w:r w:rsidRPr="007A2401">
        <w:rPr>
          <w:rFonts w:ascii="Arial" w:hAnsi="Arial" w:cs="Arial"/>
          <w:bCs/>
          <w:sz w:val="24"/>
          <w:szCs w:val="24"/>
        </w:rPr>
        <w:t>I refuse permission to appeal.</w:t>
      </w:r>
    </w:p>
    <w:p w14:paraId="03992321" w14:textId="77777777" w:rsidR="00111CD0" w:rsidRPr="007A2401" w:rsidRDefault="00111CD0" w:rsidP="00111CD0">
      <w:pPr>
        <w:spacing w:after="0" w:line="240" w:lineRule="auto"/>
        <w:rPr>
          <w:rFonts w:ascii="Arial" w:hAnsi="Arial" w:cs="Arial"/>
          <w:bCs/>
          <w:sz w:val="24"/>
          <w:szCs w:val="24"/>
        </w:rPr>
      </w:pPr>
    </w:p>
    <w:p w14:paraId="24E55E1D" w14:textId="77777777" w:rsidR="00111CD0" w:rsidRPr="007A2401" w:rsidRDefault="00111CD0" w:rsidP="00111CD0">
      <w:pPr>
        <w:spacing w:after="0" w:line="240" w:lineRule="auto"/>
        <w:jc w:val="center"/>
        <w:rPr>
          <w:rFonts w:ascii="Arial" w:hAnsi="Arial" w:cs="Arial"/>
          <w:b/>
          <w:sz w:val="24"/>
          <w:szCs w:val="24"/>
          <w:u w:val="single"/>
        </w:rPr>
      </w:pPr>
      <w:r w:rsidRPr="007A2401">
        <w:rPr>
          <w:rFonts w:ascii="Arial" w:hAnsi="Arial" w:cs="Arial"/>
          <w:b/>
          <w:sz w:val="24"/>
          <w:szCs w:val="24"/>
          <w:u w:val="single"/>
        </w:rPr>
        <w:t>REASONS</w:t>
      </w:r>
    </w:p>
    <w:p w14:paraId="0E58500F" w14:textId="77777777" w:rsidR="00111CD0" w:rsidRPr="007A2401" w:rsidRDefault="00111CD0" w:rsidP="00111CD0">
      <w:pPr>
        <w:spacing w:after="0" w:line="240" w:lineRule="auto"/>
        <w:rPr>
          <w:rFonts w:ascii="Arial" w:hAnsi="Arial" w:cs="Arial"/>
          <w:sz w:val="24"/>
          <w:szCs w:val="24"/>
        </w:rPr>
      </w:pPr>
    </w:p>
    <w:p w14:paraId="6D041AE6"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1.</w:t>
      </w:r>
      <w:r>
        <w:rPr>
          <w:rFonts w:ascii="Arial" w:hAnsi="Arial" w:cs="Arial"/>
        </w:rPr>
        <w:tab/>
      </w:r>
      <w:r w:rsidRPr="007A2401">
        <w:rPr>
          <w:rFonts w:ascii="Arial" w:hAnsi="Arial" w:cs="Arial"/>
        </w:rPr>
        <w:t xml:space="preserve">This is absolutely no reflection on </w:t>
      </w:r>
      <w:r>
        <w:rPr>
          <w:rFonts w:ascii="Arial" w:hAnsi="Arial" w:cs="Arial"/>
        </w:rPr>
        <w:t>the appellant</w:t>
      </w:r>
      <w:r w:rsidRPr="007A2401">
        <w:rPr>
          <w:rFonts w:ascii="Arial" w:hAnsi="Arial" w:cs="Arial"/>
        </w:rPr>
        <w:t>, who se</w:t>
      </w:r>
      <w:r>
        <w:rPr>
          <w:rFonts w:ascii="Arial" w:hAnsi="Arial" w:cs="Arial"/>
        </w:rPr>
        <w:t>e</w:t>
      </w:r>
      <w:r w:rsidRPr="007A2401">
        <w:rPr>
          <w:rFonts w:ascii="Arial" w:hAnsi="Arial" w:cs="Arial"/>
        </w:rPr>
        <w:t>ms to have done all he possibly could to inform the Department of the occupational pension he had started to receive, but who nonetheless is faced with a recoverable overpayment.</w:t>
      </w:r>
    </w:p>
    <w:p w14:paraId="5188E662"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p>
    <w:p w14:paraId="0BFB2F1F"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2.</w:t>
      </w:r>
      <w:r>
        <w:rPr>
          <w:rFonts w:ascii="Arial" w:hAnsi="Arial" w:cs="Arial"/>
        </w:rPr>
        <w:tab/>
      </w:r>
      <w:r w:rsidRPr="007A2401">
        <w:rPr>
          <w:rFonts w:ascii="Arial" w:hAnsi="Arial" w:cs="Arial"/>
        </w:rPr>
        <w:t>An appeal to the Social Security Commissioner is only available where the decision of the Appeal Tribunal (the Tribunal) was in error of law.  Here, however it correctly applied the law.</w:t>
      </w:r>
      <w:r>
        <w:rPr>
          <w:rFonts w:ascii="Arial" w:hAnsi="Arial" w:cs="Arial"/>
        </w:rPr>
        <w:t xml:space="preserve"> </w:t>
      </w:r>
      <w:r w:rsidRPr="007A2401">
        <w:rPr>
          <w:rFonts w:ascii="Arial" w:hAnsi="Arial" w:cs="Arial"/>
        </w:rPr>
        <w:t xml:space="preserve"> If </w:t>
      </w:r>
      <w:r>
        <w:rPr>
          <w:rFonts w:ascii="Arial" w:hAnsi="Arial" w:cs="Arial"/>
        </w:rPr>
        <w:t>the appellant</w:t>
      </w:r>
      <w:r w:rsidRPr="007A2401">
        <w:rPr>
          <w:rFonts w:ascii="Arial" w:hAnsi="Arial" w:cs="Arial"/>
        </w:rPr>
        <w:t xml:space="preserve"> feels it has operated unfairly in his case, that is a consequence of choices made by the legislator; both the Tribunal and Commissioners are powerless to do differently.</w:t>
      </w:r>
    </w:p>
    <w:p w14:paraId="3E4B72DB" w14:textId="77777777" w:rsidR="00111CD0" w:rsidRPr="007A2401" w:rsidRDefault="00111CD0" w:rsidP="00111CD0">
      <w:pPr>
        <w:pStyle w:val="ListParagraph"/>
        <w:tabs>
          <w:tab w:val="left" w:pos="510"/>
          <w:tab w:val="left" w:pos="1077"/>
          <w:tab w:val="left" w:pos="1797"/>
        </w:tabs>
        <w:spacing w:after="0" w:line="240" w:lineRule="auto"/>
        <w:ind w:left="510" w:hanging="510"/>
        <w:rPr>
          <w:rFonts w:ascii="Arial" w:hAnsi="Arial" w:cs="Arial"/>
          <w:sz w:val="24"/>
          <w:szCs w:val="24"/>
        </w:rPr>
      </w:pPr>
    </w:p>
    <w:p w14:paraId="6F82170B"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3.</w:t>
      </w:r>
      <w:r>
        <w:rPr>
          <w:rFonts w:ascii="Arial" w:hAnsi="Arial" w:cs="Arial"/>
        </w:rPr>
        <w:tab/>
      </w:r>
      <w:r w:rsidRPr="007A2401">
        <w:rPr>
          <w:rFonts w:ascii="Arial" w:hAnsi="Arial" w:cs="Arial"/>
        </w:rPr>
        <w:t>The Tribunal in its decision made on 14 December 2023, following its paper hearing held the previous day, ruled that:</w:t>
      </w:r>
    </w:p>
    <w:p w14:paraId="6CBAF8E1"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rPr>
          <w:rFonts w:ascii="Arial" w:hAnsi="Arial" w:cs="Arial"/>
        </w:rPr>
      </w:pPr>
    </w:p>
    <w:p w14:paraId="5BEAC18E"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“New style Employment and Support Allowance (Contributory) in the sum of £1,251.25 for the period 24 February 2021 to 11 May 2021 has been overpaid to the Appellant and may be recoverable from him.”</w:t>
      </w:r>
    </w:p>
    <w:p w14:paraId="58103B21" w14:textId="77777777" w:rsidR="00111CD0" w:rsidRPr="007A2401" w:rsidRDefault="00111CD0" w:rsidP="00111CD0">
      <w:pPr>
        <w:tabs>
          <w:tab w:val="left" w:pos="510"/>
          <w:tab w:val="left" w:pos="1077"/>
          <w:tab w:val="left" w:pos="1797"/>
        </w:tabs>
        <w:spacing w:after="0" w:line="240" w:lineRule="auto"/>
        <w:rPr>
          <w:rFonts w:ascii="Arial" w:hAnsi="Arial" w:cs="Arial"/>
          <w:sz w:val="24"/>
          <w:szCs w:val="24"/>
        </w:rPr>
      </w:pPr>
    </w:p>
    <w:p w14:paraId="01B932F7"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4.</w:t>
      </w:r>
      <w:r>
        <w:rPr>
          <w:rFonts w:ascii="Arial" w:hAnsi="Arial" w:cs="Arial"/>
        </w:rPr>
        <w:tab/>
      </w:r>
      <w:r w:rsidRPr="007A2401">
        <w:rPr>
          <w:rFonts w:ascii="Arial" w:hAnsi="Arial" w:cs="Arial"/>
        </w:rPr>
        <w:t xml:space="preserve">There is no dispute about the amount involved:  </w:t>
      </w:r>
      <w:r>
        <w:rPr>
          <w:rFonts w:ascii="Arial" w:hAnsi="Arial" w:cs="Arial"/>
        </w:rPr>
        <w:t>The appellant</w:t>
      </w:r>
      <w:r w:rsidRPr="007A2401">
        <w:rPr>
          <w:rFonts w:ascii="Arial" w:hAnsi="Arial" w:cs="Arial"/>
        </w:rPr>
        <w:t>’s objection is to the principle, when he had done all that was required of him.</w:t>
      </w:r>
    </w:p>
    <w:p w14:paraId="38E4D644"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rPr>
          <w:rFonts w:ascii="Arial" w:hAnsi="Arial" w:cs="Arial"/>
        </w:rPr>
      </w:pPr>
    </w:p>
    <w:p w14:paraId="3DFCD2CF"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5.</w:t>
      </w:r>
      <w:r>
        <w:rPr>
          <w:rFonts w:ascii="Arial" w:hAnsi="Arial" w:cs="Arial"/>
        </w:rPr>
        <w:tab/>
      </w:r>
      <w:r w:rsidRPr="007A2401">
        <w:rPr>
          <w:rFonts w:ascii="Arial" w:hAnsi="Arial" w:cs="Arial"/>
        </w:rPr>
        <w:t>Section 69ZB of the Social Security Administration Act (Northern Ireland) 1992 provides so far as material:</w:t>
      </w:r>
    </w:p>
    <w:p w14:paraId="27303375"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rPr>
          <w:rFonts w:ascii="Arial" w:hAnsi="Arial" w:cs="Arial"/>
        </w:rPr>
      </w:pPr>
    </w:p>
    <w:p w14:paraId="7F32C453"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“(1)  The Department may recover any amount of the following paid in excess of entitlement—</w:t>
      </w:r>
    </w:p>
    <w:p w14:paraId="59A2A687"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4FDB64FB"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w:t>
      </w:r>
    </w:p>
    <w:p w14:paraId="2EBDC627"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41679F42"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(c)  employment and support allowance</w:t>
      </w:r>
    </w:p>
    <w:p w14:paraId="3F557FB1"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4E108589"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w:t>
      </w:r>
    </w:p>
    <w:p w14:paraId="6ADFC99C"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264654A4"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(2)  An amount recoverable under this section is recoverable from—</w:t>
      </w:r>
    </w:p>
    <w:p w14:paraId="7329F1DD"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2B30A6C5"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 xml:space="preserve">(a)  the person to whom it was paid, </w:t>
      </w:r>
    </w:p>
    <w:p w14:paraId="047A943C"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6D956BE7"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 .</w:t>
      </w:r>
    </w:p>
    <w:p w14:paraId="18598045"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3C9A9A94"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(3)  An amount paid in pursuance of a determination is not recoverable under this section unless the determination has been—</w:t>
      </w:r>
    </w:p>
    <w:p w14:paraId="1228EC7F"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4705779D"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w:t>
      </w:r>
    </w:p>
    <w:p w14:paraId="37CA93B5"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71916024"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(b)  revised or superseded under Article 10 or Article 11 of the Social Security (Northern Ireland) Order 1998,</w:t>
      </w:r>
    </w:p>
    <w:p w14:paraId="712239AA"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490B20E0" w14:textId="77777777" w:rsidR="00111CD0"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 except where regulations otherwise provide.</w:t>
      </w:r>
    </w:p>
    <w:p w14:paraId="4AF8FD6D"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p>
    <w:p w14:paraId="4D1F2673" w14:textId="77777777" w:rsidR="00111CD0" w:rsidRPr="007A2401" w:rsidRDefault="00111CD0" w:rsidP="00111CD0">
      <w:pPr>
        <w:tabs>
          <w:tab w:val="left" w:pos="510"/>
          <w:tab w:val="left" w:pos="1077"/>
          <w:tab w:val="left" w:pos="1797"/>
        </w:tabs>
        <w:spacing w:after="0" w:line="240" w:lineRule="auto"/>
        <w:ind w:left="1077" w:right="1077"/>
        <w:jc w:val="both"/>
        <w:rPr>
          <w:rFonts w:ascii="Arial" w:hAnsi="Arial" w:cs="Arial"/>
          <w:sz w:val="24"/>
          <w:szCs w:val="24"/>
        </w:rPr>
      </w:pPr>
      <w:r w:rsidRPr="007A2401">
        <w:rPr>
          <w:rFonts w:ascii="Arial" w:hAnsi="Arial" w:cs="Arial"/>
          <w:sz w:val="24"/>
          <w:szCs w:val="24"/>
        </w:rPr>
        <w:t>…”</w:t>
      </w:r>
    </w:p>
    <w:p w14:paraId="3F12DA2D" w14:textId="77777777" w:rsidR="00111CD0" w:rsidRPr="007A2401" w:rsidRDefault="00111CD0" w:rsidP="00111CD0">
      <w:pPr>
        <w:pStyle w:val="ListParagraph"/>
        <w:tabs>
          <w:tab w:val="left" w:pos="510"/>
          <w:tab w:val="left" w:pos="1077"/>
          <w:tab w:val="left" w:pos="1797"/>
        </w:tabs>
        <w:spacing w:after="0" w:line="240" w:lineRule="auto"/>
        <w:ind w:left="0"/>
        <w:rPr>
          <w:rFonts w:ascii="Arial" w:hAnsi="Arial" w:cs="Arial"/>
          <w:sz w:val="24"/>
          <w:szCs w:val="24"/>
        </w:rPr>
      </w:pPr>
    </w:p>
    <w:p w14:paraId="5148C65D"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6.</w:t>
      </w:r>
      <w:r>
        <w:rPr>
          <w:rFonts w:ascii="Arial" w:hAnsi="Arial" w:cs="Arial"/>
        </w:rPr>
        <w:tab/>
      </w:r>
      <w:r w:rsidRPr="007A2401">
        <w:rPr>
          <w:rFonts w:ascii="Arial" w:hAnsi="Arial" w:cs="Arial"/>
        </w:rPr>
        <w:t xml:space="preserve">In his submission on behalf of the Department, Michael Donnan refers to three decisions which have considered the effect of s.69ZB (or its equivalent in Great Britain, Social Security Administration Act 1992, s.71).  The submission, with copies of all three decisions, was sent to </w:t>
      </w:r>
      <w:r>
        <w:rPr>
          <w:rFonts w:ascii="Arial" w:hAnsi="Arial" w:cs="Arial"/>
        </w:rPr>
        <w:t>the appellant</w:t>
      </w:r>
      <w:r w:rsidRPr="007A2401">
        <w:rPr>
          <w:rFonts w:ascii="Arial" w:hAnsi="Arial" w:cs="Arial"/>
        </w:rPr>
        <w:t>, who has not taken up the invitation to respond.</w:t>
      </w:r>
    </w:p>
    <w:p w14:paraId="6FEECBB4"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rPr>
          <w:rFonts w:ascii="Arial" w:hAnsi="Arial" w:cs="Arial"/>
        </w:rPr>
      </w:pPr>
    </w:p>
    <w:p w14:paraId="3709A423"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rPr>
          <w:rFonts w:ascii="Arial" w:hAnsi="Arial" w:cs="Arial"/>
        </w:rPr>
      </w:pPr>
      <w:r>
        <w:rPr>
          <w:rFonts w:ascii="Arial" w:hAnsi="Arial" w:cs="Arial"/>
        </w:rPr>
        <w:t>7.</w:t>
      </w:r>
      <w:r>
        <w:rPr>
          <w:rFonts w:ascii="Arial" w:hAnsi="Arial" w:cs="Arial"/>
        </w:rPr>
        <w:tab/>
      </w:r>
      <w:r w:rsidRPr="007A2401">
        <w:rPr>
          <w:rFonts w:ascii="Arial" w:hAnsi="Arial" w:cs="Arial"/>
        </w:rPr>
        <w:t>The three cases are:</w:t>
      </w:r>
    </w:p>
    <w:p w14:paraId="07EAB45A"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rPr>
          <w:rFonts w:ascii="Arial" w:hAnsi="Arial" w:cs="Arial"/>
        </w:rPr>
      </w:pPr>
    </w:p>
    <w:p w14:paraId="521587CF" w14:textId="77777777" w:rsidR="00111CD0" w:rsidRDefault="00111CD0" w:rsidP="00111CD0">
      <w:pPr>
        <w:tabs>
          <w:tab w:val="left" w:pos="510"/>
          <w:tab w:val="left" w:pos="1077"/>
          <w:tab w:val="left" w:pos="1797"/>
        </w:tabs>
        <w:spacing w:after="0" w:line="240" w:lineRule="auto"/>
        <w:rPr>
          <w:rFonts w:ascii="Arial" w:hAnsi="Arial" w:cs="Arial"/>
          <w:sz w:val="24"/>
          <w:szCs w:val="24"/>
        </w:rPr>
      </w:pPr>
      <w:r>
        <w:rPr>
          <w:rFonts w:ascii="Arial" w:hAnsi="Arial" w:cs="Arial"/>
          <w:i/>
          <w:iCs/>
          <w:sz w:val="24"/>
          <w:szCs w:val="24"/>
        </w:rPr>
        <w:tab/>
      </w:r>
      <w:r w:rsidRPr="007A2401">
        <w:rPr>
          <w:rFonts w:ascii="Arial" w:hAnsi="Arial" w:cs="Arial"/>
          <w:i/>
          <w:iCs/>
          <w:sz w:val="24"/>
          <w:szCs w:val="24"/>
        </w:rPr>
        <w:t>LP v Secretary of State for Work and Pen</w:t>
      </w:r>
      <w:r w:rsidRPr="007A2401">
        <w:rPr>
          <w:rFonts w:ascii="Arial" w:hAnsi="Arial" w:cs="Arial"/>
          <w:sz w:val="24"/>
          <w:szCs w:val="24"/>
        </w:rPr>
        <w:t>sions [2018] UKUT 332 (AAC)</w:t>
      </w:r>
    </w:p>
    <w:p w14:paraId="1F07E2FF" w14:textId="77777777" w:rsidR="00111CD0" w:rsidRPr="007A2401" w:rsidRDefault="00111CD0" w:rsidP="00111CD0">
      <w:pPr>
        <w:tabs>
          <w:tab w:val="left" w:pos="510"/>
          <w:tab w:val="left" w:pos="1077"/>
          <w:tab w:val="left" w:pos="1797"/>
        </w:tabs>
        <w:spacing w:after="0" w:line="240" w:lineRule="auto"/>
        <w:rPr>
          <w:rFonts w:ascii="Arial" w:hAnsi="Arial" w:cs="Arial"/>
          <w:sz w:val="24"/>
          <w:szCs w:val="24"/>
        </w:rPr>
      </w:pPr>
    </w:p>
    <w:p w14:paraId="0C9C1F77" w14:textId="77777777" w:rsidR="00111CD0" w:rsidRDefault="00111CD0" w:rsidP="00111CD0">
      <w:pPr>
        <w:tabs>
          <w:tab w:val="left" w:pos="510"/>
          <w:tab w:val="left" w:pos="1077"/>
          <w:tab w:val="left" w:pos="1797"/>
        </w:tabs>
        <w:spacing w:after="0" w:line="240" w:lineRule="auto"/>
        <w:ind w:left="510" w:hanging="510"/>
        <w:rPr>
          <w:rFonts w:ascii="Arial" w:hAnsi="Arial" w:cs="Arial"/>
          <w:sz w:val="24"/>
          <w:szCs w:val="24"/>
        </w:rPr>
      </w:pPr>
      <w:r>
        <w:rPr>
          <w:rFonts w:ascii="Arial" w:hAnsi="Arial" w:cs="Arial"/>
          <w:i/>
          <w:iCs/>
          <w:sz w:val="24"/>
          <w:szCs w:val="24"/>
        </w:rPr>
        <w:tab/>
      </w:r>
      <w:r w:rsidRPr="007A2401">
        <w:rPr>
          <w:rFonts w:ascii="Arial" w:hAnsi="Arial" w:cs="Arial"/>
          <w:i/>
          <w:iCs/>
          <w:sz w:val="24"/>
          <w:szCs w:val="24"/>
        </w:rPr>
        <w:t>Department for Communities v SM (ESA)</w:t>
      </w:r>
      <w:r w:rsidRPr="007A2401">
        <w:rPr>
          <w:rFonts w:ascii="Arial" w:hAnsi="Arial" w:cs="Arial"/>
          <w:sz w:val="24"/>
          <w:szCs w:val="24"/>
        </w:rPr>
        <w:t xml:space="preserve"> [2022] NI Com 22 (C1/22-13 (ESA)); and</w:t>
      </w:r>
    </w:p>
    <w:p w14:paraId="5C6FCF00" w14:textId="77777777" w:rsidR="00111CD0" w:rsidRPr="007A2401" w:rsidRDefault="00111CD0" w:rsidP="00111CD0">
      <w:pPr>
        <w:tabs>
          <w:tab w:val="left" w:pos="510"/>
          <w:tab w:val="left" w:pos="1077"/>
          <w:tab w:val="left" w:pos="1797"/>
        </w:tabs>
        <w:spacing w:after="0" w:line="240" w:lineRule="auto"/>
        <w:rPr>
          <w:rFonts w:ascii="Arial" w:hAnsi="Arial" w:cs="Arial"/>
          <w:sz w:val="24"/>
          <w:szCs w:val="24"/>
        </w:rPr>
      </w:pPr>
    </w:p>
    <w:p w14:paraId="48652ABC" w14:textId="77777777" w:rsidR="00111CD0" w:rsidRPr="007A2401" w:rsidRDefault="00111CD0" w:rsidP="00111CD0">
      <w:pPr>
        <w:tabs>
          <w:tab w:val="left" w:pos="510"/>
          <w:tab w:val="left" w:pos="1077"/>
          <w:tab w:val="left" w:pos="1797"/>
        </w:tabs>
        <w:spacing w:after="0" w:line="240" w:lineRule="auto"/>
        <w:rPr>
          <w:rFonts w:ascii="Arial" w:hAnsi="Arial" w:cs="Arial"/>
          <w:i/>
          <w:iCs/>
          <w:sz w:val="24"/>
          <w:szCs w:val="24"/>
        </w:rPr>
      </w:pPr>
      <w:r>
        <w:rPr>
          <w:rFonts w:ascii="Arial" w:hAnsi="Arial" w:cs="Arial"/>
          <w:i/>
          <w:iCs/>
          <w:sz w:val="24"/>
          <w:szCs w:val="24"/>
        </w:rPr>
        <w:tab/>
      </w:r>
      <w:r w:rsidRPr="007A2401">
        <w:rPr>
          <w:rFonts w:ascii="Arial" w:hAnsi="Arial" w:cs="Arial"/>
          <w:i/>
          <w:iCs/>
          <w:sz w:val="24"/>
          <w:szCs w:val="24"/>
        </w:rPr>
        <w:t>A1/23-24(ESA)</w:t>
      </w:r>
    </w:p>
    <w:p w14:paraId="6C25522D" w14:textId="77777777" w:rsidR="00111CD0" w:rsidRPr="007A2401" w:rsidRDefault="00111CD0" w:rsidP="00111CD0">
      <w:pPr>
        <w:tabs>
          <w:tab w:val="left" w:pos="510"/>
          <w:tab w:val="left" w:pos="1077"/>
          <w:tab w:val="left" w:pos="1797"/>
        </w:tabs>
        <w:spacing w:after="0" w:line="240" w:lineRule="auto"/>
        <w:rPr>
          <w:rFonts w:ascii="Arial" w:hAnsi="Arial" w:cs="Arial"/>
          <w:sz w:val="24"/>
          <w:szCs w:val="24"/>
        </w:rPr>
      </w:pPr>
    </w:p>
    <w:p w14:paraId="6ECE670E"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8.</w:t>
      </w:r>
      <w:r>
        <w:rPr>
          <w:rFonts w:ascii="Arial" w:hAnsi="Arial" w:cs="Arial"/>
        </w:rPr>
        <w:tab/>
      </w:r>
      <w:r w:rsidRPr="007A2401">
        <w:rPr>
          <w:rFonts w:ascii="Arial" w:hAnsi="Arial" w:cs="Arial"/>
        </w:rPr>
        <w:t xml:space="preserve">It is clear from each of those decisions, extracts from which were highlighted by Mr Donnan in his submissions, that the calculation of the overpayment is justiciable on an appeal against a decision under s.69ZB but there is no dispute about that in the present case.  It is equally clear from the decisions that the Department does not have to point to a misrepresentation or failure to disclose a material fact before a sum can be held to be recoverable.  It follows that the fact that </w:t>
      </w:r>
      <w:r>
        <w:rPr>
          <w:rFonts w:ascii="Arial" w:hAnsi="Arial" w:cs="Arial"/>
        </w:rPr>
        <w:t>the appellant</w:t>
      </w:r>
      <w:r w:rsidRPr="007A2401">
        <w:rPr>
          <w:rFonts w:ascii="Arial" w:hAnsi="Arial" w:cs="Arial"/>
        </w:rPr>
        <w:t xml:space="preserve"> did all he was required to do does not call into question the recoverability of the amount in question.</w:t>
      </w:r>
    </w:p>
    <w:p w14:paraId="7F5474B3" w14:textId="77777777" w:rsidR="00111CD0" w:rsidRPr="007A2401" w:rsidRDefault="00111CD0" w:rsidP="00111CD0">
      <w:pPr>
        <w:tabs>
          <w:tab w:val="left" w:pos="510"/>
          <w:tab w:val="left" w:pos="1077"/>
          <w:tab w:val="left" w:pos="1797"/>
        </w:tabs>
        <w:spacing w:after="0" w:line="240" w:lineRule="auto"/>
        <w:ind w:left="510" w:hanging="510"/>
        <w:rPr>
          <w:rFonts w:ascii="Arial" w:hAnsi="Arial" w:cs="Arial"/>
          <w:sz w:val="24"/>
          <w:szCs w:val="24"/>
        </w:rPr>
      </w:pPr>
    </w:p>
    <w:p w14:paraId="660DF787"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9.</w:t>
      </w:r>
      <w:r>
        <w:rPr>
          <w:rFonts w:ascii="Arial" w:hAnsi="Arial" w:cs="Arial"/>
        </w:rPr>
        <w:tab/>
      </w:r>
      <w:r w:rsidRPr="007A2401">
        <w:rPr>
          <w:rFonts w:ascii="Arial" w:hAnsi="Arial" w:cs="Arial"/>
        </w:rPr>
        <w:t>Section 69(ZB)(3) requires the original decision to have been revised or superseded.</w:t>
      </w:r>
      <w:r>
        <w:rPr>
          <w:rFonts w:ascii="Arial" w:hAnsi="Arial" w:cs="Arial"/>
        </w:rPr>
        <w:t xml:space="preserve"> </w:t>
      </w:r>
      <w:r w:rsidRPr="007A2401">
        <w:rPr>
          <w:rFonts w:ascii="Arial" w:hAnsi="Arial" w:cs="Arial"/>
        </w:rPr>
        <w:t xml:space="preserve"> In the present case the Tribunal was satisfied that it had been, on 20 September 2021. </w:t>
      </w:r>
      <w:r>
        <w:rPr>
          <w:rFonts w:ascii="Arial" w:hAnsi="Arial" w:cs="Arial"/>
        </w:rPr>
        <w:t xml:space="preserve"> </w:t>
      </w:r>
      <w:r w:rsidRPr="007A2401">
        <w:rPr>
          <w:rFonts w:ascii="Arial" w:hAnsi="Arial" w:cs="Arial"/>
        </w:rPr>
        <w:t>No challenge is made to that finding and, notwithstanding the evident shortcomings in the Department’s provision of documentation in the Tribunal proceedings, it was a finding that was open to the Tribunal to make, based in particular on the screen print in evidence at page 80 “20/09/21…COFC ENDING AWARD”. (“COFC” indicates “Change of Circumstances”.)</w:t>
      </w:r>
    </w:p>
    <w:p w14:paraId="40DDE3AA" w14:textId="77777777" w:rsidR="00111CD0" w:rsidRPr="007A2401" w:rsidRDefault="00111CD0" w:rsidP="00111CD0">
      <w:pPr>
        <w:pStyle w:val="ListParagraph"/>
        <w:tabs>
          <w:tab w:val="left" w:pos="510"/>
          <w:tab w:val="left" w:pos="1077"/>
          <w:tab w:val="left" w:pos="1797"/>
        </w:tabs>
        <w:spacing w:after="0" w:line="240" w:lineRule="auto"/>
        <w:ind w:left="510" w:hanging="510"/>
        <w:rPr>
          <w:rFonts w:ascii="Arial" w:hAnsi="Arial" w:cs="Arial"/>
          <w:sz w:val="24"/>
          <w:szCs w:val="24"/>
        </w:rPr>
      </w:pPr>
    </w:p>
    <w:p w14:paraId="1B73C0A2"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10.</w:t>
      </w:r>
      <w:r>
        <w:rPr>
          <w:rFonts w:ascii="Arial" w:hAnsi="Arial" w:cs="Arial"/>
        </w:rPr>
        <w:tab/>
      </w:r>
      <w:r w:rsidRPr="007A2401">
        <w:rPr>
          <w:rFonts w:ascii="Arial" w:hAnsi="Arial" w:cs="Arial"/>
        </w:rPr>
        <w:t>There is, however, a difference between being “recoverable” (which is all the Tribunal is permitted to be concerned with) and whether it actually is recovered, which is dealt with by the Department’s Debt Management office, over which neither the Tribunal nor the Social Security Commissioners have any jurisdiction.  (The Tribunal’s ruling that the sum “</w:t>
      </w:r>
      <w:r w:rsidRPr="007A2401">
        <w:rPr>
          <w:rFonts w:ascii="Arial" w:hAnsi="Arial" w:cs="Arial"/>
          <w:u w:val="single"/>
        </w:rPr>
        <w:t>may be</w:t>
      </w:r>
      <w:r w:rsidRPr="007A2401">
        <w:rPr>
          <w:rFonts w:ascii="Arial" w:hAnsi="Arial" w:cs="Arial"/>
        </w:rPr>
        <w:t xml:space="preserve"> recoverable” slightly unhelpfully blurs this distinction, but the legal position is clear.)</w:t>
      </w:r>
    </w:p>
    <w:p w14:paraId="42B1D274" w14:textId="77777777" w:rsidR="00111CD0" w:rsidRPr="007A2401" w:rsidRDefault="00111CD0" w:rsidP="00111CD0">
      <w:pPr>
        <w:pStyle w:val="ListParagraph"/>
        <w:tabs>
          <w:tab w:val="left" w:pos="510"/>
          <w:tab w:val="left" w:pos="1077"/>
          <w:tab w:val="left" w:pos="1797"/>
        </w:tabs>
        <w:spacing w:after="0" w:line="240" w:lineRule="auto"/>
        <w:ind w:left="510" w:hanging="510"/>
        <w:rPr>
          <w:rFonts w:ascii="Arial" w:hAnsi="Arial" w:cs="Arial"/>
          <w:sz w:val="24"/>
          <w:szCs w:val="24"/>
        </w:rPr>
      </w:pPr>
    </w:p>
    <w:p w14:paraId="3AE3908C"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11.</w:t>
      </w:r>
      <w:r>
        <w:rPr>
          <w:rFonts w:ascii="Arial" w:hAnsi="Arial" w:cs="Arial"/>
        </w:rPr>
        <w:tab/>
      </w:r>
      <w:r w:rsidRPr="007A2401">
        <w:rPr>
          <w:rFonts w:ascii="Arial" w:hAnsi="Arial" w:cs="Arial"/>
        </w:rPr>
        <w:t xml:space="preserve">At paras 31 to 33 of his submission, Mr Donnan helpfully provides suggestions as to the sort of points which could usefully be made in an application for recovery of the sum to be waived, together with a link to the </w:t>
      </w:r>
      <w:r w:rsidRPr="007A2401">
        <w:rPr>
          <w:rFonts w:ascii="Arial" w:hAnsi="Arial" w:cs="Arial"/>
          <w:i/>
          <w:iCs/>
        </w:rPr>
        <w:t>Benefit Overpayment Recovery:  Staff Guide.</w:t>
      </w:r>
    </w:p>
    <w:p w14:paraId="472D0D9F" w14:textId="77777777" w:rsidR="00111CD0" w:rsidRPr="007A2401" w:rsidRDefault="00111CD0" w:rsidP="00111CD0">
      <w:pPr>
        <w:pStyle w:val="ListParagraph"/>
        <w:tabs>
          <w:tab w:val="left" w:pos="510"/>
          <w:tab w:val="left" w:pos="1077"/>
          <w:tab w:val="left" w:pos="1797"/>
        </w:tabs>
        <w:spacing w:after="0" w:line="240" w:lineRule="auto"/>
        <w:ind w:left="510" w:hanging="510"/>
        <w:rPr>
          <w:rFonts w:ascii="Arial" w:hAnsi="Arial" w:cs="Arial"/>
          <w:sz w:val="24"/>
          <w:szCs w:val="24"/>
        </w:rPr>
      </w:pPr>
    </w:p>
    <w:p w14:paraId="26706089" w14:textId="77777777" w:rsidR="00111CD0" w:rsidRPr="007A2401" w:rsidRDefault="00111CD0" w:rsidP="00111CD0">
      <w:pPr>
        <w:pStyle w:val="Numbered"/>
        <w:numPr>
          <w:ilvl w:val="0"/>
          <w:numId w:val="0"/>
        </w:numPr>
        <w:tabs>
          <w:tab w:val="clear" w:pos="1134"/>
          <w:tab w:val="clear" w:pos="1701"/>
          <w:tab w:val="clear" w:pos="2268"/>
          <w:tab w:val="clear" w:pos="2835"/>
          <w:tab w:val="left" w:pos="510"/>
          <w:tab w:val="left" w:pos="1077"/>
          <w:tab w:val="left" w:pos="1797"/>
        </w:tabs>
        <w:spacing w:after="0"/>
        <w:ind w:left="510" w:hanging="510"/>
        <w:rPr>
          <w:rFonts w:ascii="Arial" w:hAnsi="Arial" w:cs="Arial"/>
        </w:rPr>
      </w:pPr>
      <w:r>
        <w:rPr>
          <w:rFonts w:ascii="Arial" w:hAnsi="Arial" w:cs="Arial"/>
        </w:rPr>
        <w:t>12.</w:t>
      </w:r>
      <w:r>
        <w:rPr>
          <w:rFonts w:ascii="Arial" w:hAnsi="Arial" w:cs="Arial"/>
        </w:rPr>
        <w:tab/>
      </w:r>
      <w:r w:rsidRPr="007A2401">
        <w:rPr>
          <w:rFonts w:ascii="Arial" w:hAnsi="Arial" w:cs="Arial"/>
        </w:rPr>
        <w:t xml:space="preserve">I have to refuse leave to appeal.  It is for </w:t>
      </w:r>
      <w:r>
        <w:rPr>
          <w:rFonts w:ascii="Arial" w:hAnsi="Arial" w:cs="Arial"/>
        </w:rPr>
        <w:t>the appellant</w:t>
      </w:r>
      <w:r w:rsidRPr="007A2401">
        <w:rPr>
          <w:rFonts w:ascii="Arial" w:hAnsi="Arial" w:cs="Arial"/>
        </w:rPr>
        <w:t xml:space="preserve"> to decide whether to make an application as described above to the Department’s Debt Management office.</w:t>
      </w:r>
    </w:p>
    <w:p w14:paraId="40341E18" w14:textId="77777777" w:rsidR="00111CD0" w:rsidRDefault="00111CD0" w:rsidP="00111CD0">
      <w:pPr>
        <w:spacing w:after="0" w:line="240" w:lineRule="auto"/>
        <w:rPr>
          <w:rFonts w:ascii="Arial" w:hAnsi="Arial" w:cs="Arial"/>
          <w:sz w:val="24"/>
          <w:szCs w:val="24"/>
        </w:rPr>
      </w:pPr>
      <w:r w:rsidRPr="007A2401">
        <w:rPr>
          <w:rFonts w:ascii="Arial" w:hAnsi="Arial" w:cs="Arial"/>
          <w:noProof/>
          <w:sz w:val="24"/>
          <w:szCs w:val="24"/>
        </w:rPr>
        <w:drawing>
          <wp:anchor distT="0" distB="0" distL="114300" distR="114300" simplePos="0" relativeHeight="251659264" behindDoc="0" locked="0" layoutInCell="1" allowOverlap="1" wp14:anchorId="1D6C3DEC" wp14:editId="5C90417A">
            <wp:simplePos x="0" y="0"/>
            <wp:positionH relativeFrom="column">
              <wp:posOffset>659130</wp:posOffset>
            </wp:positionH>
            <wp:positionV relativeFrom="paragraph">
              <wp:posOffset>29210</wp:posOffset>
            </wp:positionV>
            <wp:extent cx="2333625" cy="800100"/>
            <wp:effectExtent l="0" t="0" r="9525" b="0"/>
            <wp:wrapThrough wrapText="bothSides">
              <wp:wrapPolygon edited="0">
                <wp:start x="0" y="0"/>
                <wp:lineTo x="0" y="21086"/>
                <wp:lineTo x="21512" y="21086"/>
                <wp:lineTo x="21512" y="0"/>
                <wp:lineTo x="0" y="0"/>
              </wp:wrapPolygon>
            </wp:wrapThrough>
            <wp:docPr id="1"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ignature on a white background&#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t="15833" b="14166"/>
                    <a:stretch/>
                  </pic:blipFill>
                  <pic:spPr bwMode="auto">
                    <a:xfrm>
                      <a:off x="0" y="0"/>
                      <a:ext cx="233362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734CA5" w14:textId="77777777" w:rsidR="00111CD0" w:rsidRDefault="00111CD0" w:rsidP="00111CD0">
      <w:pPr>
        <w:spacing w:after="0" w:line="240" w:lineRule="auto"/>
        <w:rPr>
          <w:rFonts w:ascii="Arial" w:hAnsi="Arial" w:cs="Arial"/>
          <w:sz w:val="24"/>
          <w:szCs w:val="24"/>
        </w:rPr>
      </w:pPr>
    </w:p>
    <w:p w14:paraId="24502C30" w14:textId="77777777" w:rsidR="00111CD0" w:rsidRDefault="00111CD0" w:rsidP="00111CD0">
      <w:pPr>
        <w:spacing w:after="0" w:line="240" w:lineRule="auto"/>
        <w:rPr>
          <w:rFonts w:ascii="Arial" w:hAnsi="Arial" w:cs="Arial"/>
          <w:sz w:val="24"/>
          <w:szCs w:val="24"/>
        </w:rPr>
      </w:pPr>
    </w:p>
    <w:p w14:paraId="32BBE389" w14:textId="77777777" w:rsidR="00111CD0" w:rsidRDefault="00111CD0" w:rsidP="00111CD0">
      <w:pPr>
        <w:spacing w:after="0" w:line="240" w:lineRule="auto"/>
        <w:rPr>
          <w:rFonts w:ascii="Arial" w:hAnsi="Arial" w:cs="Arial"/>
          <w:sz w:val="24"/>
          <w:szCs w:val="24"/>
        </w:rPr>
      </w:pPr>
    </w:p>
    <w:p w14:paraId="6D14DE27" w14:textId="77777777" w:rsidR="00111CD0" w:rsidRPr="007A2401" w:rsidRDefault="00111CD0" w:rsidP="00111CD0">
      <w:pPr>
        <w:spacing w:after="0" w:line="240" w:lineRule="auto"/>
        <w:rPr>
          <w:rFonts w:ascii="Arial" w:hAnsi="Arial" w:cs="Arial"/>
          <w:sz w:val="24"/>
          <w:szCs w:val="24"/>
        </w:rPr>
      </w:pPr>
    </w:p>
    <w:p w14:paraId="549B60C6" w14:textId="77777777" w:rsidR="00111CD0" w:rsidRPr="007804D8" w:rsidRDefault="00111CD0" w:rsidP="00111CD0">
      <w:pPr>
        <w:spacing w:after="0" w:line="240" w:lineRule="auto"/>
        <w:ind w:left="360"/>
        <w:rPr>
          <w:rFonts w:ascii="Arial" w:hAnsi="Arial" w:cs="Arial"/>
          <w:bCs/>
          <w:sz w:val="24"/>
          <w:szCs w:val="24"/>
        </w:rPr>
      </w:pPr>
      <w:r w:rsidRPr="007A2401">
        <w:rPr>
          <w:rFonts w:ascii="Arial" w:hAnsi="Arial" w:cs="Arial"/>
          <w:sz w:val="24"/>
          <w:szCs w:val="24"/>
        </w:rPr>
        <w:t>(Signed):</w:t>
      </w:r>
      <w:r>
        <w:rPr>
          <w:rFonts w:ascii="Arial" w:hAnsi="Arial" w:cs="Arial"/>
          <w:sz w:val="24"/>
          <w:szCs w:val="24"/>
        </w:rPr>
        <w:t xml:space="preserve">  </w:t>
      </w:r>
      <w:r w:rsidRPr="007804D8">
        <w:rPr>
          <w:rFonts w:ascii="Arial" w:hAnsi="Arial" w:cs="Arial"/>
          <w:bCs/>
          <w:sz w:val="24"/>
          <w:szCs w:val="24"/>
        </w:rPr>
        <w:t>C G WARD</w:t>
      </w:r>
    </w:p>
    <w:p w14:paraId="67DC6744" w14:textId="77777777" w:rsidR="00111CD0" w:rsidRPr="007804D8" w:rsidRDefault="00111CD0" w:rsidP="00111CD0">
      <w:pPr>
        <w:spacing w:after="0" w:line="240" w:lineRule="auto"/>
        <w:ind w:left="360"/>
        <w:rPr>
          <w:rFonts w:ascii="Arial" w:hAnsi="Arial" w:cs="Arial"/>
          <w:bCs/>
          <w:sz w:val="24"/>
          <w:szCs w:val="24"/>
        </w:rPr>
      </w:pPr>
    </w:p>
    <w:p w14:paraId="0D7285A8" w14:textId="77777777" w:rsidR="00111CD0" w:rsidRPr="007804D8" w:rsidRDefault="00111CD0" w:rsidP="00111CD0">
      <w:pPr>
        <w:spacing w:after="0" w:line="240" w:lineRule="auto"/>
        <w:ind w:left="360"/>
        <w:rPr>
          <w:rFonts w:ascii="Arial" w:hAnsi="Arial" w:cs="Arial"/>
          <w:bCs/>
          <w:sz w:val="24"/>
          <w:szCs w:val="24"/>
        </w:rPr>
      </w:pPr>
      <w:r w:rsidRPr="007804D8">
        <w:rPr>
          <w:rFonts w:ascii="Arial" w:hAnsi="Arial" w:cs="Arial"/>
          <w:bCs/>
          <w:sz w:val="24"/>
          <w:szCs w:val="24"/>
        </w:rPr>
        <w:t>DEPUTY COMMISSIONER (NI)</w:t>
      </w:r>
    </w:p>
    <w:p w14:paraId="7D7E2B5C" w14:textId="77777777" w:rsidR="00111CD0" w:rsidRPr="007A2401" w:rsidRDefault="00111CD0" w:rsidP="00111CD0">
      <w:pPr>
        <w:spacing w:after="0" w:line="240" w:lineRule="auto"/>
        <w:ind w:left="360"/>
        <w:rPr>
          <w:rFonts w:ascii="Arial" w:hAnsi="Arial" w:cs="Arial"/>
          <w:sz w:val="24"/>
          <w:szCs w:val="24"/>
        </w:rPr>
      </w:pPr>
    </w:p>
    <w:p w14:paraId="6C526480" w14:textId="77777777" w:rsidR="00111CD0" w:rsidRDefault="00111CD0" w:rsidP="00111CD0">
      <w:pPr>
        <w:spacing w:after="0" w:line="240" w:lineRule="auto"/>
        <w:ind w:left="360"/>
        <w:rPr>
          <w:rFonts w:ascii="Arial" w:hAnsi="Arial" w:cs="Arial"/>
          <w:sz w:val="24"/>
          <w:szCs w:val="24"/>
        </w:rPr>
      </w:pPr>
    </w:p>
    <w:p w14:paraId="2FE67AE9" w14:textId="77777777" w:rsidR="00111CD0" w:rsidRPr="007A2401" w:rsidRDefault="00111CD0" w:rsidP="00111CD0">
      <w:pPr>
        <w:spacing w:after="0" w:line="240" w:lineRule="auto"/>
        <w:ind w:left="360"/>
        <w:rPr>
          <w:rFonts w:ascii="Arial" w:hAnsi="Arial" w:cs="Arial"/>
          <w:sz w:val="24"/>
          <w:szCs w:val="24"/>
        </w:rPr>
      </w:pPr>
    </w:p>
    <w:p w14:paraId="38061297" w14:textId="77777777" w:rsidR="00111CD0" w:rsidRPr="007A2401" w:rsidRDefault="00111CD0" w:rsidP="00111CD0">
      <w:pPr>
        <w:spacing w:after="0" w:line="240" w:lineRule="auto"/>
        <w:ind w:left="360"/>
        <w:rPr>
          <w:rFonts w:ascii="Arial" w:hAnsi="Arial" w:cs="Arial"/>
          <w:sz w:val="24"/>
          <w:szCs w:val="24"/>
        </w:rPr>
      </w:pPr>
      <w:r w:rsidRPr="007A2401">
        <w:rPr>
          <w:rFonts w:ascii="Arial" w:hAnsi="Arial" w:cs="Arial"/>
          <w:sz w:val="24"/>
          <w:szCs w:val="24"/>
        </w:rPr>
        <w:t>30 September 2024</w:t>
      </w:r>
    </w:p>
    <w:p w14:paraId="5C03EB71" w14:textId="77777777" w:rsidR="00111CD0" w:rsidRPr="00FE5FE3" w:rsidRDefault="00111CD0" w:rsidP="00111CD0"/>
    <w:p w14:paraId="6B43343D" w14:textId="77777777" w:rsidR="00691182" w:rsidRDefault="00691182"/>
    <w:sectPr w:rsidR="00691182" w:rsidSect="00111CD0">
      <w:footerReference w:type="default" r:id="rId6"/>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CEBF" w14:textId="77777777" w:rsidR="00284CD6" w:rsidRPr="00A306AA" w:rsidRDefault="00284CD6" w:rsidP="00A306AA">
    <w:pPr>
      <w:pStyle w:val="Footer"/>
      <w:jc w:val="center"/>
      <w:rPr>
        <w:rFonts w:ascii="Arial" w:hAnsi="Arial" w:cs="Arial"/>
        <w:sz w:val="24"/>
        <w:szCs w:val="24"/>
      </w:rPr>
    </w:pPr>
    <w:r w:rsidRPr="00A306AA">
      <w:rPr>
        <w:rFonts w:ascii="Arial" w:hAnsi="Arial" w:cs="Arial"/>
        <w:sz w:val="24"/>
        <w:szCs w:val="24"/>
      </w:rPr>
      <w:fldChar w:fldCharType="begin"/>
    </w:r>
    <w:r w:rsidRPr="00A306AA">
      <w:rPr>
        <w:rFonts w:ascii="Arial" w:hAnsi="Arial" w:cs="Arial"/>
        <w:sz w:val="24"/>
        <w:szCs w:val="24"/>
      </w:rPr>
      <w:instrText xml:space="preserve"> PAGE   \* MERGEFORMAT </w:instrText>
    </w:r>
    <w:r w:rsidRPr="00A306AA">
      <w:rPr>
        <w:rFonts w:ascii="Arial" w:hAnsi="Arial" w:cs="Arial"/>
        <w:sz w:val="24"/>
        <w:szCs w:val="24"/>
      </w:rPr>
      <w:fldChar w:fldCharType="separate"/>
    </w:r>
    <w:r w:rsidRPr="00A306AA">
      <w:rPr>
        <w:rFonts w:ascii="Arial" w:hAnsi="Arial" w:cs="Arial"/>
        <w:noProof/>
        <w:sz w:val="24"/>
        <w:szCs w:val="24"/>
      </w:rPr>
      <w:t>2</w:t>
    </w:r>
    <w:r w:rsidRPr="00A306AA">
      <w:rPr>
        <w:rFonts w:ascii="Arial" w:hAnsi="Arial" w:cs="Arial"/>
        <w:noProof/>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A7343"/>
    <w:multiLevelType w:val="hybridMultilevel"/>
    <w:tmpl w:val="E1C24A0C"/>
    <w:lvl w:ilvl="0" w:tplc="C28AB38E">
      <w:start w:val="1"/>
      <w:numFmt w:val="decimal"/>
      <w:pStyle w:val="Numbered"/>
      <w:lvlText w:val="%1."/>
      <w:lvlJc w:val="left"/>
      <w:pPr>
        <w:tabs>
          <w:tab w:val="num" w:pos="567"/>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8862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D0"/>
    <w:rsid w:val="00111CD0"/>
    <w:rsid w:val="001B2966"/>
    <w:rsid w:val="00691182"/>
    <w:rsid w:val="00755657"/>
    <w:rsid w:val="007960B8"/>
    <w:rsid w:val="00A35FF6"/>
    <w:rsid w:val="00C90BF9"/>
    <w:rsid w:val="00DA0D1A"/>
    <w:rsid w:val="00DD6C88"/>
    <w:rsid w:val="00F5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D68005"/>
  <w15:chartTrackingRefBased/>
  <w15:docId w15:val="{D8F21A5E-9818-4C63-A33B-A634204A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D0"/>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11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D0"/>
    <w:rPr>
      <w:rFonts w:eastAsiaTheme="majorEastAsia" w:cstheme="majorBidi"/>
      <w:color w:val="272727" w:themeColor="text1" w:themeTint="D8"/>
    </w:rPr>
  </w:style>
  <w:style w:type="paragraph" w:styleId="Title">
    <w:name w:val="Title"/>
    <w:basedOn w:val="Normal"/>
    <w:next w:val="Normal"/>
    <w:link w:val="TitleChar"/>
    <w:uiPriority w:val="10"/>
    <w:qFormat/>
    <w:rsid w:val="00111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CD0"/>
    <w:pPr>
      <w:spacing w:before="160"/>
      <w:jc w:val="center"/>
    </w:pPr>
    <w:rPr>
      <w:i/>
      <w:iCs/>
      <w:color w:val="404040" w:themeColor="text1" w:themeTint="BF"/>
    </w:rPr>
  </w:style>
  <w:style w:type="character" w:customStyle="1" w:styleId="QuoteChar">
    <w:name w:val="Quote Char"/>
    <w:basedOn w:val="DefaultParagraphFont"/>
    <w:link w:val="Quote"/>
    <w:uiPriority w:val="29"/>
    <w:rsid w:val="00111CD0"/>
    <w:rPr>
      <w:i/>
      <w:iCs/>
      <w:color w:val="404040" w:themeColor="text1" w:themeTint="BF"/>
    </w:rPr>
  </w:style>
  <w:style w:type="paragraph" w:styleId="ListParagraph">
    <w:name w:val="List Paragraph"/>
    <w:basedOn w:val="Normal"/>
    <w:uiPriority w:val="34"/>
    <w:qFormat/>
    <w:rsid w:val="00111CD0"/>
    <w:pPr>
      <w:ind w:left="720"/>
      <w:contextualSpacing/>
    </w:pPr>
  </w:style>
  <w:style w:type="character" w:styleId="IntenseEmphasis">
    <w:name w:val="Intense Emphasis"/>
    <w:basedOn w:val="DefaultParagraphFont"/>
    <w:uiPriority w:val="21"/>
    <w:qFormat/>
    <w:rsid w:val="00111CD0"/>
    <w:rPr>
      <w:i/>
      <w:iCs/>
      <w:color w:val="0F4761" w:themeColor="accent1" w:themeShade="BF"/>
    </w:rPr>
  </w:style>
  <w:style w:type="paragraph" w:styleId="IntenseQuote">
    <w:name w:val="Intense Quote"/>
    <w:basedOn w:val="Normal"/>
    <w:next w:val="Normal"/>
    <w:link w:val="IntenseQuoteChar"/>
    <w:uiPriority w:val="30"/>
    <w:qFormat/>
    <w:rsid w:val="00111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D0"/>
    <w:rPr>
      <w:i/>
      <w:iCs/>
      <w:color w:val="0F4761" w:themeColor="accent1" w:themeShade="BF"/>
    </w:rPr>
  </w:style>
  <w:style w:type="character" w:styleId="IntenseReference">
    <w:name w:val="Intense Reference"/>
    <w:basedOn w:val="DefaultParagraphFont"/>
    <w:uiPriority w:val="32"/>
    <w:qFormat/>
    <w:rsid w:val="00111CD0"/>
    <w:rPr>
      <w:b/>
      <w:bCs/>
      <w:smallCaps/>
      <w:color w:val="0F4761" w:themeColor="accent1" w:themeShade="BF"/>
      <w:spacing w:val="5"/>
    </w:rPr>
  </w:style>
  <w:style w:type="paragraph" w:styleId="Footer">
    <w:name w:val="footer"/>
    <w:basedOn w:val="Normal"/>
    <w:link w:val="FooterChar"/>
    <w:uiPriority w:val="99"/>
    <w:unhideWhenUsed/>
    <w:rsid w:val="00111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CD0"/>
    <w:rPr>
      <w:rFonts w:ascii="Calibri" w:eastAsia="Calibri" w:hAnsi="Calibri" w:cs="Times New Roman"/>
      <w:kern w:val="0"/>
      <w14:ligatures w14:val="none"/>
    </w:rPr>
  </w:style>
  <w:style w:type="paragraph" w:customStyle="1" w:styleId="Numbered">
    <w:name w:val="Numbered"/>
    <w:basedOn w:val="Normal"/>
    <w:rsid w:val="00111CD0"/>
    <w:pPr>
      <w:numPr>
        <w:numId w:val="1"/>
      </w:numPr>
      <w:tabs>
        <w:tab w:val="left" w:pos="1134"/>
        <w:tab w:val="left" w:pos="1701"/>
        <w:tab w:val="left" w:pos="2268"/>
        <w:tab w:val="left" w:pos="2835"/>
      </w:tabs>
      <w:spacing w:after="120" w:line="240" w:lineRule="auto"/>
      <w:jc w:val="both"/>
    </w:pPr>
    <w:rPr>
      <w:rFonts w:ascii="Century Schoolbook" w:eastAsia="Times New Roman"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Donnan, Michael</dc:creator>
  <cp:keywords/>
  <dc:description/>
  <cp:lastModifiedBy/>
  <cp:revision>1</cp:revision>
  <dcterms:created xsi:type="dcterms:W3CDTF">2024-10-08T15:03:00Z</dcterms:created>
</cp:coreProperties>
</file>