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4D1B6" w14:textId="1AAF5B60" w:rsidR="009C36C6" w:rsidRPr="001D62A3" w:rsidRDefault="00C61840" w:rsidP="007B4E8E">
      <w:pPr>
        <w:widowControl w:val="0"/>
        <w:autoSpaceDE w:val="0"/>
        <w:autoSpaceDN w:val="0"/>
        <w:adjustRightInd w:val="0"/>
        <w:spacing w:after="0" w:line="240" w:lineRule="auto"/>
        <w:jc w:val="right"/>
        <w:rPr>
          <w:rFonts w:ascii="Arial" w:eastAsia="Times New Roman" w:hAnsi="Arial" w:cs="Arial"/>
          <w:sz w:val="24"/>
          <w:szCs w:val="24"/>
        </w:rPr>
      </w:pPr>
      <w:r>
        <w:rPr>
          <w:rFonts w:ascii="Arial" w:eastAsia="Times New Roman" w:hAnsi="Arial" w:cs="Arial"/>
          <w:sz w:val="24"/>
          <w:szCs w:val="24"/>
          <w:lang w:val="en-US"/>
        </w:rPr>
        <w:tab/>
      </w:r>
      <w:r w:rsidR="009C36C6" w:rsidRPr="001D62A3">
        <w:rPr>
          <w:rFonts w:ascii="Arial" w:eastAsia="Times New Roman" w:hAnsi="Arial" w:cs="Arial"/>
          <w:sz w:val="24"/>
          <w:szCs w:val="24"/>
          <w:lang w:val="en-US"/>
        </w:rPr>
        <w:t>KT-v-Department for Communities (PIP) [2025] NICom</w:t>
      </w:r>
      <w:r w:rsidR="002243C2" w:rsidRPr="001D62A3">
        <w:rPr>
          <w:rFonts w:ascii="Arial" w:eastAsia="Times New Roman" w:hAnsi="Arial" w:cs="Arial"/>
          <w:sz w:val="24"/>
          <w:szCs w:val="24"/>
          <w:lang w:val="en-US"/>
        </w:rPr>
        <w:t xml:space="preserve"> 8</w:t>
      </w:r>
    </w:p>
    <w:p w14:paraId="4ADB04C0" w14:textId="77777777" w:rsidR="009C36C6" w:rsidRPr="001D62A3" w:rsidRDefault="009C36C6" w:rsidP="007B4E8E">
      <w:pPr>
        <w:widowControl w:val="0"/>
        <w:autoSpaceDE w:val="0"/>
        <w:autoSpaceDN w:val="0"/>
        <w:adjustRightInd w:val="0"/>
        <w:spacing w:after="0" w:line="240" w:lineRule="auto"/>
        <w:jc w:val="right"/>
        <w:rPr>
          <w:rFonts w:ascii="Arial" w:eastAsia="Times New Roman" w:hAnsi="Arial" w:cs="Arial"/>
          <w:sz w:val="24"/>
          <w:szCs w:val="24"/>
          <w:lang w:val="en-US"/>
        </w:rPr>
      </w:pPr>
    </w:p>
    <w:p w14:paraId="4F52055A" w14:textId="1F6D792C" w:rsidR="009C36C6" w:rsidRPr="001D62A3" w:rsidRDefault="009C36C6" w:rsidP="007B4E8E">
      <w:pPr>
        <w:widowControl w:val="0"/>
        <w:autoSpaceDE w:val="0"/>
        <w:autoSpaceDN w:val="0"/>
        <w:adjustRightInd w:val="0"/>
        <w:spacing w:after="0" w:line="240" w:lineRule="auto"/>
        <w:jc w:val="right"/>
        <w:rPr>
          <w:rFonts w:ascii="Arial" w:eastAsia="Times New Roman" w:hAnsi="Arial" w:cs="Arial"/>
          <w:sz w:val="24"/>
          <w:szCs w:val="24"/>
          <w:lang w:val="en-US"/>
        </w:rPr>
      </w:pPr>
      <w:r w:rsidRPr="001D62A3">
        <w:rPr>
          <w:rFonts w:ascii="Arial" w:eastAsia="Times New Roman" w:hAnsi="Arial" w:cs="Arial"/>
          <w:sz w:val="24"/>
          <w:szCs w:val="24"/>
          <w:lang w:val="en-US"/>
        </w:rPr>
        <w:t xml:space="preserve">Decision No: </w:t>
      </w:r>
      <w:r w:rsidR="001D62A3">
        <w:rPr>
          <w:rFonts w:ascii="Arial" w:eastAsia="Times New Roman" w:hAnsi="Arial" w:cs="Arial"/>
          <w:sz w:val="24"/>
          <w:szCs w:val="24"/>
          <w:lang w:val="en-US"/>
        </w:rPr>
        <w:t xml:space="preserve"> </w:t>
      </w:r>
      <w:r w:rsidRPr="001D62A3">
        <w:rPr>
          <w:rFonts w:ascii="Arial" w:eastAsia="Times New Roman" w:hAnsi="Arial" w:cs="Arial"/>
          <w:sz w:val="24"/>
          <w:szCs w:val="24"/>
          <w:lang w:val="en-US"/>
        </w:rPr>
        <w:t>C</w:t>
      </w:r>
      <w:r w:rsidR="002243C2" w:rsidRPr="001D62A3">
        <w:rPr>
          <w:rFonts w:ascii="Arial" w:eastAsia="Times New Roman" w:hAnsi="Arial" w:cs="Arial"/>
          <w:sz w:val="24"/>
          <w:szCs w:val="24"/>
          <w:lang w:val="en-US"/>
        </w:rPr>
        <w:t>29</w:t>
      </w:r>
      <w:r w:rsidRPr="001D62A3">
        <w:rPr>
          <w:rFonts w:ascii="Arial" w:eastAsia="Times New Roman" w:hAnsi="Arial" w:cs="Arial"/>
          <w:sz w:val="24"/>
          <w:szCs w:val="24"/>
          <w:lang w:val="en-US"/>
        </w:rPr>
        <w:t>/24-25(PIP)</w:t>
      </w:r>
    </w:p>
    <w:p w14:paraId="63383604" w14:textId="77777777" w:rsidR="009C36C6" w:rsidRDefault="009C36C6" w:rsidP="007B4E8E">
      <w:pPr>
        <w:widowControl w:val="0"/>
        <w:autoSpaceDE w:val="0"/>
        <w:autoSpaceDN w:val="0"/>
        <w:adjustRightInd w:val="0"/>
        <w:spacing w:after="0" w:line="240" w:lineRule="auto"/>
        <w:rPr>
          <w:rFonts w:ascii="Arial" w:eastAsia="Times New Roman" w:hAnsi="Arial" w:cs="Arial"/>
          <w:sz w:val="24"/>
          <w:szCs w:val="24"/>
          <w:lang w:val="en-US"/>
        </w:rPr>
      </w:pPr>
    </w:p>
    <w:p w14:paraId="147A8151" w14:textId="77777777" w:rsidR="001D62A3" w:rsidRPr="001D62A3" w:rsidRDefault="001D62A3" w:rsidP="007B4E8E">
      <w:pPr>
        <w:widowControl w:val="0"/>
        <w:autoSpaceDE w:val="0"/>
        <w:autoSpaceDN w:val="0"/>
        <w:adjustRightInd w:val="0"/>
        <w:spacing w:after="0" w:line="240" w:lineRule="auto"/>
        <w:rPr>
          <w:rFonts w:ascii="Arial" w:eastAsia="Times New Roman" w:hAnsi="Arial" w:cs="Arial"/>
          <w:sz w:val="24"/>
          <w:szCs w:val="24"/>
          <w:lang w:val="en-US"/>
        </w:rPr>
      </w:pPr>
    </w:p>
    <w:p w14:paraId="7E7D1350" w14:textId="77777777" w:rsidR="009C36C6" w:rsidRPr="001D62A3" w:rsidRDefault="009C36C6" w:rsidP="007B4E8E">
      <w:pPr>
        <w:widowControl w:val="0"/>
        <w:autoSpaceDE w:val="0"/>
        <w:autoSpaceDN w:val="0"/>
        <w:adjustRightInd w:val="0"/>
        <w:spacing w:after="0" w:line="240" w:lineRule="auto"/>
        <w:rPr>
          <w:rFonts w:ascii="Arial" w:eastAsia="Times New Roman" w:hAnsi="Arial" w:cs="Arial"/>
          <w:sz w:val="24"/>
          <w:szCs w:val="24"/>
          <w:lang w:val="en-US"/>
        </w:rPr>
      </w:pPr>
    </w:p>
    <w:p w14:paraId="1F5AD86E" w14:textId="77777777" w:rsidR="009C36C6" w:rsidRPr="001D62A3" w:rsidRDefault="009C36C6" w:rsidP="007B4E8E">
      <w:pPr>
        <w:widowControl w:val="0"/>
        <w:autoSpaceDE w:val="0"/>
        <w:autoSpaceDN w:val="0"/>
        <w:adjustRightInd w:val="0"/>
        <w:spacing w:after="0" w:line="240" w:lineRule="auto"/>
        <w:rPr>
          <w:rFonts w:ascii="Arial" w:eastAsia="Times New Roman" w:hAnsi="Arial" w:cs="Arial"/>
          <w:sz w:val="24"/>
          <w:szCs w:val="24"/>
          <w:lang w:val="en-US"/>
        </w:rPr>
      </w:pPr>
    </w:p>
    <w:p w14:paraId="7B2DAAE1" w14:textId="77777777" w:rsidR="009C36C6" w:rsidRPr="001D62A3" w:rsidRDefault="009C36C6" w:rsidP="007B4E8E">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1D62A3">
        <w:rPr>
          <w:rFonts w:ascii="Arial" w:eastAsia="Times New Roman" w:hAnsi="Arial" w:cs="Arial"/>
          <w:b/>
          <w:bCs/>
          <w:spacing w:val="-3"/>
          <w:sz w:val="24"/>
          <w:szCs w:val="24"/>
          <w:lang w:val="en-US"/>
        </w:rPr>
        <w:t>SOCIAL SECURITY ADMINISTRATION (NORTHERN IRELAND) ACT 1992</w:t>
      </w:r>
    </w:p>
    <w:p w14:paraId="22017F6A" w14:textId="77777777" w:rsidR="009C36C6" w:rsidRPr="001D62A3" w:rsidRDefault="009C36C6" w:rsidP="007B4E8E">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2E81BAC9" w14:textId="77777777" w:rsidR="009C36C6" w:rsidRPr="001D62A3" w:rsidRDefault="009C36C6" w:rsidP="007B4E8E">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r w:rsidRPr="001D62A3">
        <w:rPr>
          <w:rFonts w:ascii="Arial" w:eastAsia="Times New Roman" w:hAnsi="Arial" w:cs="Arial"/>
          <w:b/>
          <w:bCs/>
          <w:spacing w:val="-3"/>
          <w:sz w:val="24"/>
          <w:szCs w:val="24"/>
          <w:lang w:val="en-US"/>
        </w:rPr>
        <w:t>SOCIAL SECURITY (NORTHERN IRELAND) ORDER 1998</w:t>
      </w:r>
    </w:p>
    <w:p w14:paraId="41E76A1D" w14:textId="77777777" w:rsidR="009C36C6" w:rsidRPr="001D62A3" w:rsidRDefault="009C36C6" w:rsidP="007B4E8E">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65DEC41B" w14:textId="77777777" w:rsidR="009C36C6" w:rsidRPr="001D62A3" w:rsidRDefault="009C36C6" w:rsidP="007B4E8E">
      <w:pPr>
        <w:widowControl w:val="0"/>
        <w:suppressAutoHyphens/>
        <w:autoSpaceDE w:val="0"/>
        <w:autoSpaceDN w:val="0"/>
        <w:adjustRightInd w:val="0"/>
        <w:spacing w:after="0" w:line="240" w:lineRule="auto"/>
        <w:jc w:val="center"/>
        <w:rPr>
          <w:rFonts w:ascii="Arial" w:eastAsia="Times New Roman" w:hAnsi="Arial" w:cs="Arial"/>
          <w:b/>
          <w:bCs/>
          <w:spacing w:val="-3"/>
          <w:sz w:val="24"/>
          <w:szCs w:val="24"/>
          <w:lang w:val="en-US"/>
        </w:rPr>
      </w:pPr>
    </w:p>
    <w:p w14:paraId="2E163D64"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u w:val="single"/>
          <w:lang w:val="en-US"/>
        </w:rPr>
      </w:pPr>
      <w:r w:rsidRPr="001D62A3">
        <w:rPr>
          <w:rFonts w:ascii="Arial" w:eastAsia="Times New Roman" w:hAnsi="Arial" w:cs="Arial"/>
          <w:b/>
          <w:bCs/>
          <w:spacing w:val="-3"/>
          <w:sz w:val="24"/>
          <w:szCs w:val="24"/>
          <w:u w:val="single"/>
          <w:lang w:val="en-US"/>
        </w:rPr>
        <w:t>PERSONAL INDEPENDENCE PAYMENT</w:t>
      </w:r>
    </w:p>
    <w:p w14:paraId="263DE94A" w14:textId="77777777" w:rsidR="009C36C6" w:rsidRPr="001D62A3" w:rsidRDefault="009C36C6" w:rsidP="007B4E8E">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302B8C0F" w14:textId="77777777" w:rsidR="009C36C6" w:rsidRPr="001D62A3" w:rsidRDefault="009C36C6" w:rsidP="007B4E8E">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11A8DC91"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1D62A3">
        <w:rPr>
          <w:rFonts w:ascii="Arial" w:eastAsia="Times New Roman" w:hAnsi="Arial" w:cs="Arial"/>
          <w:spacing w:val="-3"/>
          <w:sz w:val="24"/>
          <w:szCs w:val="24"/>
          <w:lang w:val="en-US"/>
        </w:rPr>
        <w:t>Application by the claimant for leave to appeal</w:t>
      </w:r>
    </w:p>
    <w:p w14:paraId="1622543C"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1D62A3">
        <w:rPr>
          <w:rFonts w:ascii="Arial" w:eastAsia="Times New Roman" w:hAnsi="Arial" w:cs="Arial"/>
          <w:spacing w:val="-3"/>
          <w:sz w:val="24"/>
          <w:szCs w:val="24"/>
          <w:lang w:val="en-US"/>
        </w:rPr>
        <w:t>and appeal to a Social Security Commissioner</w:t>
      </w:r>
    </w:p>
    <w:p w14:paraId="3E06460F"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1D62A3">
        <w:rPr>
          <w:rFonts w:ascii="Arial" w:eastAsia="Times New Roman" w:hAnsi="Arial" w:cs="Arial"/>
          <w:spacing w:val="-3"/>
          <w:sz w:val="24"/>
          <w:szCs w:val="24"/>
          <w:lang w:val="en-US"/>
        </w:rPr>
        <w:t>on a question of law from a Tribunal’s decision</w:t>
      </w:r>
    </w:p>
    <w:p w14:paraId="11BA7323"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1D62A3">
        <w:rPr>
          <w:rFonts w:ascii="Arial" w:eastAsia="Times New Roman" w:hAnsi="Arial" w:cs="Arial"/>
          <w:spacing w:val="-3"/>
          <w:sz w:val="24"/>
          <w:szCs w:val="24"/>
          <w:lang w:val="en-US"/>
        </w:rPr>
        <w:t>dated 18 April 2024</w:t>
      </w:r>
    </w:p>
    <w:p w14:paraId="38DFB658" w14:textId="77777777" w:rsidR="009C36C6" w:rsidRPr="001D62A3" w:rsidRDefault="009C36C6" w:rsidP="007B4E8E">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79632362" w14:textId="77777777" w:rsidR="009C36C6" w:rsidRPr="001D62A3" w:rsidRDefault="009C36C6" w:rsidP="007B4E8E">
      <w:pPr>
        <w:widowControl w:val="0"/>
        <w:tabs>
          <w:tab w:val="left" w:pos="-720"/>
        </w:tabs>
        <w:suppressAutoHyphens/>
        <w:autoSpaceDE w:val="0"/>
        <w:autoSpaceDN w:val="0"/>
        <w:adjustRightInd w:val="0"/>
        <w:spacing w:after="0" w:line="240" w:lineRule="auto"/>
        <w:jc w:val="center"/>
        <w:rPr>
          <w:rFonts w:ascii="Arial" w:eastAsia="Times New Roman" w:hAnsi="Arial" w:cs="Arial"/>
          <w:spacing w:val="-3"/>
          <w:sz w:val="24"/>
          <w:szCs w:val="24"/>
          <w:lang w:val="en-US"/>
        </w:rPr>
      </w:pPr>
    </w:p>
    <w:p w14:paraId="6B516980" w14:textId="77777777" w:rsidR="009C36C6" w:rsidRPr="001D62A3" w:rsidRDefault="009C36C6" w:rsidP="007B4E8E">
      <w:pPr>
        <w:widowControl w:val="0"/>
        <w:tabs>
          <w:tab w:val="center" w:pos="4513"/>
        </w:tabs>
        <w:suppressAutoHyphens/>
        <w:autoSpaceDE w:val="0"/>
        <w:autoSpaceDN w:val="0"/>
        <w:adjustRightInd w:val="0"/>
        <w:spacing w:after="0" w:line="240" w:lineRule="auto"/>
        <w:jc w:val="center"/>
        <w:rPr>
          <w:rFonts w:ascii="Arial" w:eastAsia="Times New Roman" w:hAnsi="Arial" w:cs="Arial"/>
          <w:spacing w:val="-3"/>
          <w:sz w:val="24"/>
          <w:szCs w:val="24"/>
          <w:lang w:val="en-US"/>
        </w:rPr>
      </w:pPr>
      <w:r w:rsidRPr="001D62A3">
        <w:rPr>
          <w:rFonts w:ascii="Arial" w:eastAsia="Times New Roman" w:hAnsi="Arial" w:cs="Arial"/>
          <w:spacing w:val="-3"/>
          <w:sz w:val="24"/>
          <w:szCs w:val="24"/>
          <w:u w:val="single"/>
          <w:lang w:val="en-US"/>
        </w:rPr>
        <w:t>DECISION OF THE SOCIAL SECURITY COMMISSIONER</w:t>
      </w:r>
    </w:p>
    <w:p w14:paraId="2D4939EE" w14:textId="77777777" w:rsidR="001D7BB9" w:rsidRPr="001D62A3" w:rsidRDefault="001D7BB9" w:rsidP="007B4E8E">
      <w:pPr>
        <w:spacing w:after="0" w:line="240" w:lineRule="auto"/>
        <w:rPr>
          <w:rFonts w:ascii="Arial" w:hAnsi="Arial" w:cs="Arial"/>
          <w:sz w:val="24"/>
          <w:szCs w:val="24"/>
        </w:rPr>
      </w:pPr>
    </w:p>
    <w:p w14:paraId="6D401EA0" w14:textId="77777777" w:rsidR="009C36C6" w:rsidRPr="001D62A3" w:rsidRDefault="009C36C6" w:rsidP="007B4E8E">
      <w:pPr>
        <w:spacing w:after="0" w:line="240" w:lineRule="auto"/>
        <w:rPr>
          <w:rFonts w:ascii="Arial" w:hAnsi="Arial" w:cs="Arial"/>
          <w:sz w:val="24"/>
          <w:szCs w:val="24"/>
        </w:rPr>
      </w:pPr>
    </w:p>
    <w:p w14:paraId="4FE3BEAF" w14:textId="37D5D119" w:rsidR="009C36C6" w:rsidRPr="001D62A3" w:rsidRDefault="007B4E8E" w:rsidP="007B4E8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w:t>
      </w:r>
      <w:r>
        <w:rPr>
          <w:rFonts w:ascii="Arial" w:hAnsi="Arial" w:cs="Arial"/>
          <w:sz w:val="24"/>
          <w:szCs w:val="24"/>
        </w:rPr>
        <w:tab/>
      </w:r>
      <w:r w:rsidR="001D7BB9" w:rsidRPr="001D62A3">
        <w:rPr>
          <w:rFonts w:ascii="Arial" w:hAnsi="Arial" w:cs="Arial"/>
          <w:sz w:val="24"/>
          <w:szCs w:val="24"/>
        </w:rPr>
        <w:t xml:space="preserve">This is a claimant’s application for leave to appeal from the decision of an appeal tribunal </w:t>
      </w:r>
      <w:r w:rsidR="0035349C" w:rsidRPr="001D62A3">
        <w:rPr>
          <w:rFonts w:ascii="Arial" w:hAnsi="Arial" w:cs="Arial"/>
          <w:sz w:val="24"/>
          <w:szCs w:val="24"/>
        </w:rPr>
        <w:t>with reference</w:t>
      </w:r>
      <w:r w:rsidR="00EC2557" w:rsidRPr="001D62A3">
        <w:rPr>
          <w:rFonts w:ascii="Arial" w:hAnsi="Arial" w:cs="Arial"/>
          <w:sz w:val="24"/>
          <w:szCs w:val="24"/>
        </w:rPr>
        <w:t xml:space="preserve"> BB/13165/22/02/D</w:t>
      </w:r>
      <w:r w:rsidR="001D7BB9" w:rsidRPr="001D62A3">
        <w:rPr>
          <w:rFonts w:ascii="Arial" w:hAnsi="Arial" w:cs="Arial"/>
          <w:sz w:val="24"/>
          <w:szCs w:val="24"/>
        </w:rPr>
        <w:t>.</w:t>
      </w:r>
    </w:p>
    <w:p w14:paraId="6F172267" w14:textId="77777777" w:rsidR="009C36C6" w:rsidRPr="001D62A3" w:rsidRDefault="009C36C6" w:rsidP="007B4E8E">
      <w:pPr>
        <w:tabs>
          <w:tab w:val="left" w:pos="510"/>
          <w:tab w:val="left" w:pos="1077"/>
          <w:tab w:val="left" w:pos="1797"/>
        </w:tabs>
        <w:spacing w:after="0" w:line="240" w:lineRule="auto"/>
        <w:ind w:left="510" w:hanging="510"/>
        <w:jc w:val="both"/>
        <w:rPr>
          <w:rFonts w:ascii="Arial" w:hAnsi="Arial" w:cs="Arial"/>
          <w:sz w:val="24"/>
          <w:szCs w:val="24"/>
        </w:rPr>
      </w:pPr>
    </w:p>
    <w:p w14:paraId="658FB9A9" w14:textId="31DCC3C2" w:rsidR="009C36C6" w:rsidRPr="001D62A3" w:rsidRDefault="007B4E8E" w:rsidP="007B4E8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w:t>
      </w:r>
      <w:r>
        <w:rPr>
          <w:rFonts w:ascii="Arial" w:hAnsi="Arial" w:cs="Arial"/>
          <w:sz w:val="24"/>
          <w:szCs w:val="24"/>
        </w:rPr>
        <w:tab/>
      </w:r>
      <w:r w:rsidR="001D7BB9" w:rsidRPr="001D62A3">
        <w:rPr>
          <w:rFonts w:ascii="Arial" w:hAnsi="Arial" w:cs="Arial"/>
          <w:sz w:val="24"/>
          <w:szCs w:val="24"/>
        </w:rPr>
        <w:t>An oral hearing of the application has been requested.</w:t>
      </w:r>
      <w:r>
        <w:rPr>
          <w:rFonts w:ascii="Arial" w:hAnsi="Arial" w:cs="Arial"/>
          <w:sz w:val="24"/>
          <w:szCs w:val="24"/>
        </w:rPr>
        <w:t xml:space="preserve"> </w:t>
      </w:r>
      <w:r w:rsidR="001D7BB9" w:rsidRPr="001D62A3">
        <w:rPr>
          <w:rFonts w:ascii="Arial" w:hAnsi="Arial" w:cs="Arial"/>
          <w:sz w:val="24"/>
          <w:szCs w:val="24"/>
        </w:rPr>
        <w:t xml:space="preserve"> </w:t>
      </w:r>
      <w:r w:rsidR="00EC7DC4" w:rsidRPr="001D62A3">
        <w:rPr>
          <w:rFonts w:ascii="Arial" w:hAnsi="Arial" w:cs="Arial"/>
          <w:sz w:val="24"/>
          <w:szCs w:val="24"/>
        </w:rPr>
        <w:t>However, I consider that the proceedings can properly be determined without an oral hearing.</w:t>
      </w:r>
    </w:p>
    <w:p w14:paraId="55D26621" w14:textId="77777777" w:rsidR="009C36C6" w:rsidRPr="001D62A3" w:rsidRDefault="009C36C6" w:rsidP="007B4E8E">
      <w:pPr>
        <w:pStyle w:val="ListParagraph"/>
        <w:tabs>
          <w:tab w:val="left" w:pos="510"/>
          <w:tab w:val="left" w:pos="1077"/>
          <w:tab w:val="left" w:pos="1797"/>
        </w:tabs>
        <w:spacing w:after="0" w:line="240" w:lineRule="auto"/>
        <w:ind w:left="510" w:hanging="510"/>
        <w:rPr>
          <w:rFonts w:ascii="Arial" w:hAnsi="Arial" w:cs="Arial"/>
          <w:sz w:val="24"/>
          <w:szCs w:val="24"/>
        </w:rPr>
      </w:pPr>
    </w:p>
    <w:p w14:paraId="03A4E2BF" w14:textId="577B63FB" w:rsidR="001D7BB9" w:rsidRPr="001D62A3" w:rsidRDefault="007B4E8E" w:rsidP="007B4E8E">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w:t>
      </w:r>
      <w:r>
        <w:rPr>
          <w:rFonts w:ascii="Arial" w:hAnsi="Arial" w:cs="Arial"/>
          <w:sz w:val="24"/>
          <w:szCs w:val="24"/>
        </w:rPr>
        <w:tab/>
      </w:r>
      <w:r w:rsidR="001D7BB9" w:rsidRPr="001D62A3">
        <w:rPr>
          <w:rFonts w:ascii="Arial" w:hAnsi="Arial" w:cs="Arial"/>
          <w:sz w:val="24"/>
          <w:szCs w:val="24"/>
        </w:rPr>
        <w:t>For the reasons I give below, I</w:t>
      </w:r>
      <w:r w:rsidR="00EC7DC4" w:rsidRPr="001D62A3">
        <w:rPr>
          <w:rFonts w:ascii="Arial" w:hAnsi="Arial" w:cs="Arial"/>
          <w:sz w:val="24"/>
          <w:szCs w:val="24"/>
        </w:rPr>
        <w:t xml:space="preserve"> </w:t>
      </w:r>
      <w:r w:rsidR="00432B29" w:rsidRPr="001D62A3">
        <w:rPr>
          <w:rFonts w:ascii="Arial" w:hAnsi="Arial" w:cs="Arial"/>
          <w:sz w:val="24"/>
          <w:szCs w:val="24"/>
        </w:rPr>
        <w:t xml:space="preserve">grant leave to appeal. </w:t>
      </w:r>
      <w:r>
        <w:rPr>
          <w:rFonts w:ascii="Arial" w:hAnsi="Arial" w:cs="Arial"/>
          <w:sz w:val="24"/>
          <w:szCs w:val="24"/>
        </w:rPr>
        <w:t xml:space="preserve"> </w:t>
      </w:r>
      <w:r w:rsidR="00432B29" w:rsidRPr="001D62A3">
        <w:rPr>
          <w:rFonts w:ascii="Arial" w:hAnsi="Arial" w:cs="Arial"/>
          <w:sz w:val="24"/>
          <w:szCs w:val="24"/>
        </w:rPr>
        <w:t>I allow the appeal and I set aside the decision of the appeal tribunal under Article 15(8)(b) of the Social Security (NI) Order 1998.</w:t>
      </w:r>
      <w:r>
        <w:rPr>
          <w:rFonts w:ascii="Arial" w:hAnsi="Arial" w:cs="Arial"/>
          <w:sz w:val="24"/>
          <w:szCs w:val="24"/>
        </w:rPr>
        <w:t xml:space="preserve"> </w:t>
      </w:r>
      <w:r w:rsidR="00432B29" w:rsidRPr="001D62A3">
        <w:rPr>
          <w:rFonts w:ascii="Arial" w:hAnsi="Arial" w:cs="Arial"/>
          <w:sz w:val="24"/>
          <w:szCs w:val="24"/>
        </w:rPr>
        <w:t xml:space="preserve"> I refer the appeal to a newly constituted tribunal for determination.</w:t>
      </w:r>
    </w:p>
    <w:p w14:paraId="679B7C4C" w14:textId="77777777" w:rsidR="001D7BB9" w:rsidRPr="001D62A3" w:rsidRDefault="001D7BB9" w:rsidP="007B4E8E">
      <w:pPr>
        <w:tabs>
          <w:tab w:val="left" w:pos="510"/>
          <w:tab w:val="left" w:pos="1077"/>
          <w:tab w:val="left" w:pos="1797"/>
        </w:tabs>
        <w:spacing w:after="0" w:line="240" w:lineRule="auto"/>
        <w:rPr>
          <w:rFonts w:ascii="Arial" w:hAnsi="Arial" w:cs="Arial"/>
          <w:sz w:val="24"/>
          <w:szCs w:val="24"/>
        </w:rPr>
      </w:pPr>
    </w:p>
    <w:p w14:paraId="52FC5151" w14:textId="77777777" w:rsidR="001D7BB9" w:rsidRPr="001D62A3" w:rsidRDefault="001D7BB9" w:rsidP="007B4E8E">
      <w:pPr>
        <w:tabs>
          <w:tab w:val="left" w:pos="510"/>
          <w:tab w:val="left" w:pos="1077"/>
          <w:tab w:val="left" w:pos="1797"/>
        </w:tabs>
        <w:spacing w:after="0" w:line="240" w:lineRule="auto"/>
        <w:jc w:val="center"/>
        <w:rPr>
          <w:rFonts w:ascii="Arial" w:hAnsi="Arial" w:cs="Arial"/>
          <w:b/>
          <w:bCs/>
          <w:sz w:val="24"/>
          <w:szCs w:val="24"/>
          <w:u w:val="single"/>
        </w:rPr>
      </w:pPr>
      <w:r w:rsidRPr="001D62A3">
        <w:rPr>
          <w:rFonts w:ascii="Arial" w:hAnsi="Arial" w:cs="Arial"/>
          <w:b/>
          <w:bCs/>
          <w:sz w:val="24"/>
          <w:szCs w:val="24"/>
          <w:u w:val="single"/>
        </w:rPr>
        <w:t>REASONS</w:t>
      </w:r>
    </w:p>
    <w:p w14:paraId="34C864DF" w14:textId="77777777" w:rsidR="001D7BB9" w:rsidRPr="001D62A3" w:rsidRDefault="001D7BB9" w:rsidP="007B4E8E">
      <w:pPr>
        <w:tabs>
          <w:tab w:val="left" w:pos="510"/>
          <w:tab w:val="left" w:pos="1077"/>
          <w:tab w:val="left" w:pos="1797"/>
        </w:tabs>
        <w:spacing w:after="0" w:line="240" w:lineRule="auto"/>
        <w:rPr>
          <w:rFonts w:ascii="Arial" w:hAnsi="Arial" w:cs="Arial"/>
          <w:sz w:val="24"/>
          <w:szCs w:val="24"/>
        </w:rPr>
      </w:pPr>
    </w:p>
    <w:p w14:paraId="06D28DB1" w14:textId="33B777EA" w:rsidR="001D7BB9" w:rsidRPr="001D62A3" w:rsidRDefault="007B4E8E" w:rsidP="007B4E8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1D7BB9" w:rsidRPr="001D62A3">
        <w:rPr>
          <w:rFonts w:ascii="Arial" w:hAnsi="Arial" w:cs="Arial"/>
          <w:b/>
          <w:sz w:val="24"/>
          <w:szCs w:val="24"/>
        </w:rPr>
        <w:t>Background</w:t>
      </w:r>
    </w:p>
    <w:p w14:paraId="56926823" w14:textId="77777777" w:rsidR="001D7BB9" w:rsidRPr="001D62A3" w:rsidRDefault="001D7BB9" w:rsidP="007B4E8E">
      <w:pPr>
        <w:tabs>
          <w:tab w:val="left" w:pos="510"/>
          <w:tab w:val="left" w:pos="1077"/>
          <w:tab w:val="left" w:pos="1797"/>
        </w:tabs>
        <w:spacing w:after="0" w:line="240" w:lineRule="auto"/>
        <w:rPr>
          <w:rFonts w:ascii="Arial" w:hAnsi="Arial" w:cs="Arial"/>
          <w:sz w:val="24"/>
          <w:szCs w:val="24"/>
        </w:rPr>
      </w:pPr>
    </w:p>
    <w:p w14:paraId="49B1E054" w14:textId="65CE8869" w:rsidR="006F304D" w:rsidRPr="001D62A3" w:rsidRDefault="007B4E8E" w:rsidP="000B489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4.</w:t>
      </w:r>
      <w:r>
        <w:rPr>
          <w:rFonts w:ascii="Arial" w:hAnsi="Arial" w:cs="Arial"/>
          <w:sz w:val="24"/>
          <w:szCs w:val="24"/>
        </w:rPr>
        <w:tab/>
      </w:r>
      <w:r w:rsidR="001D7BB9" w:rsidRPr="001D62A3">
        <w:rPr>
          <w:rFonts w:ascii="Arial" w:hAnsi="Arial" w:cs="Arial"/>
          <w:sz w:val="24"/>
          <w:szCs w:val="24"/>
        </w:rPr>
        <w:t>The applicant</w:t>
      </w:r>
      <w:r w:rsidR="008F568E" w:rsidRPr="001D62A3">
        <w:rPr>
          <w:rFonts w:ascii="Arial" w:hAnsi="Arial" w:cs="Arial"/>
          <w:sz w:val="24"/>
          <w:szCs w:val="24"/>
        </w:rPr>
        <w:t xml:space="preserve"> </w:t>
      </w:r>
      <w:r w:rsidR="001D7BB9" w:rsidRPr="001D62A3">
        <w:rPr>
          <w:rFonts w:ascii="Arial" w:hAnsi="Arial" w:cs="Arial"/>
          <w:sz w:val="24"/>
          <w:szCs w:val="24"/>
        </w:rPr>
        <w:t>claim</w:t>
      </w:r>
      <w:r w:rsidR="003600CF" w:rsidRPr="001D62A3">
        <w:rPr>
          <w:rFonts w:ascii="Arial" w:hAnsi="Arial" w:cs="Arial"/>
          <w:sz w:val="24"/>
          <w:szCs w:val="24"/>
        </w:rPr>
        <w:t>ed</w:t>
      </w:r>
      <w:r w:rsidR="001D7BB9" w:rsidRPr="001D62A3">
        <w:rPr>
          <w:rFonts w:ascii="Arial" w:hAnsi="Arial" w:cs="Arial"/>
          <w:sz w:val="24"/>
          <w:szCs w:val="24"/>
        </w:rPr>
        <w:t xml:space="preserve"> personal independence payment (PIP) </w:t>
      </w:r>
      <w:r w:rsidR="00EC78E7" w:rsidRPr="001D62A3">
        <w:rPr>
          <w:rFonts w:ascii="Arial" w:hAnsi="Arial" w:cs="Arial"/>
          <w:sz w:val="24"/>
          <w:szCs w:val="24"/>
        </w:rPr>
        <w:t>from</w:t>
      </w:r>
      <w:r w:rsidR="0036386C" w:rsidRPr="001D62A3">
        <w:rPr>
          <w:rFonts w:ascii="Arial" w:hAnsi="Arial" w:cs="Arial"/>
          <w:sz w:val="24"/>
          <w:szCs w:val="24"/>
        </w:rPr>
        <w:t xml:space="preserve"> t</w:t>
      </w:r>
      <w:r w:rsidR="008F568E" w:rsidRPr="001D62A3">
        <w:rPr>
          <w:rFonts w:ascii="Arial" w:hAnsi="Arial" w:cs="Arial"/>
          <w:sz w:val="24"/>
          <w:szCs w:val="24"/>
        </w:rPr>
        <w:t>h</w:t>
      </w:r>
      <w:r w:rsidR="001D7BB9" w:rsidRPr="001D62A3">
        <w:rPr>
          <w:rFonts w:ascii="Arial" w:hAnsi="Arial" w:cs="Arial"/>
          <w:sz w:val="24"/>
          <w:szCs w:val="24"/>
        </w:rPr>
        <w:t xml:space="preserve">e Department for Communities (the Department) from </w:t>
      </w:r>
      <w:r w:rsidR="00EC2557" w:rsidRPr="001D62A3">
        <w:rPr>
          <w:rFonts w:ascii="Arial" w:hAnsi="Arial" w:cs="Arial"/>
          <w:sz w:val="24"/>
          <w:szCs w:val="24"/>
        </w:rPr>
        <w:t xml:space="preserve">21 June 2022 </w:t>
      </w:r>
      <w:r w:rsidR="00230303" w:rsidRPr="001D62A3">
        <w:rPr>
          <w:rFonts w:ascii="Arial" w:hAnsi="Arial" w:cs="Arial"/>
          <w:sz w:val="24"/>
          <w:szCs w:val="24"/>
        </w:rPr>
        <w:t xml:space="preserve">on the basis of needs arising from </w:t>
      </w:r>
      <w:r w:rsidR="00EC2557" w:rsidRPr="001D62A3">
        <w:rPr>
          <w:rFonts w:ascii="Arial" w:hAnsi="Arial" w:cs="Arial"/>
          <w:sz w:val="24"/>
          <w:szCs w:val="24"/>
        </w:rPr>
        <w:t>hypothyroidism, pernicious anaemia, and long Covid</w:t>
      </w:r>
      <w:r w:rsidR="003600CF" w:rsidRPr="001D62A3">
        <w:rPr>
          <w:rFonts w:ascii="Arial" w:hAnsi="Arial" w:cs="Arial"/>
          <w:sz w:val="24"/>
          <w:szCs w:val="24"/>
        </w:rPr>
        <w:t>.</w:t>
      </w:r>
      <w:r w:rsidR="00230303" w:rsidRPr="001D62A3">
        <w:rPr>
          <w:rFonts w:ascii="Arial" w:hAnsi="Arial" w:cs="Arial"/>
          <w:sz w:val="24"/>
          <w:szCs w:val="24"/>
        </w:rPr>
        <w:t xml:space="preserve"> </w:t>
      </w:r>
      <w:r>
        <w:rPr>
          <w:rFonts w:ascii="Arial" w:hAnsi="Arial" w:cs="Arial"/>
          <w:sz w:val="24"/>
          <w:szCs w:val="24"/>
        </w:rPr>
        <w:t xml:space="preserve"> </w:t>
      </w:r>
      <w:r w:rsidR="00230303" w:rsidRPr="001D62A3">
        <w:rPr>
          <w:rFonts w:ascii="Arial" w:hAnsi="Arial" w:cs="Arial"/>
          <w:sz w:val="24"/>
          <w:szCs w:val="24"/>
        </w:rPr>
        <w:t>H</w:t>
      </w:r>
      <w:r w:rsidR="0036386C" w:rsidRPr="001D62A3">
        <w:rPr>
          <w:rFonts w:ascii="Arial" w:hAnsi="Arial" w:cs="Arial"/>
          <w:sz w:val="24"/>
          <w:szCs w:val="24"/>
        </w:rPr>
        <w:t xml:space="preserve">e was asked to complete a </w:t>
      </w:r>
      <w:r w:rsidR="00E027D9" w:rsidRPr="001D62A3">
        <w:rPr>
          <w:rFonts w:ascii="Arial" w:hAnsi="Arial" w:cs="Arial"/>
          <w:sz w:val="24"/>
          <w:szCs w:val="24"/>
        </w:rPr>
        <w:t xml:space="preserve">PIP2 </w:t>
      </w:r>
      <w:r w:rsidR="0036386C" w:rsidRPr="001D62A3">
        <w:rPr>
          <w:rFonts w:ascii="Arial" w:hAnsi="Arial" w:cs="Arial"/>
          <w:sz w:val="24"/>
          <w:szCs w:val="24"/>
        </w:rPr>
        <w:t xml:space="preserve">questionnaire to describe the effects of </w:t>
      </w:r>
      <w:r w:rsidR="00EC78E7" w:rsidRPr="001D62A3">
        <w:rPr>
          <w:rFonts w:ascii="Arial" w:hAnsi="Arial" w:cs="Arial"/>
          <w:sz w:val="24"/>
          <w:szCs w:val="24"/>
        </w:rPr>
        <w:t>his</w:t>
      </w:r>
      <w:r w:rsidR="0036386C" w:rsidRPr="001D62A3">
        <w:rPr>
          <w:rFonts w:ascii="Arial" w:hAnsi="Arial" w:cs="Arial"/>
          <w:sz w:val="24"/>
          <w:szCs w:val="24"/>
        </w:rPr>
        <w:t xml:space="preserve"> disability and returned this to the Department on</w:t>
      </w:r>
      <w:r w:rsidR="00230303" w:rsidRPr="001D62A3">
        <w:rPr>
          <w:rFonts w:ascii="Arial" w:hAnsi="Arial" w:cs="Arial"/>
          <w:sz w:val="24"/>
          <w:szCs w:val="24"/>
        </w:rPr>
        <w:t xml:space="preserve"> </w:t>
      </w:r>
      <w:r w:rsidR="00EC2557" w:rsidRPr="001D62A3">
        <w:rPr>
          <w:rFonts w:ascii="Arial" w:hAnsi="Arial" w:cs="Arial"/>
          <w:sz w:val="24"/>
          <w:szCs w:val="24"/>
        </w:rPr>
        <w:t>22 June 2022</w:t>
      </w:r>
      <w:r w:rsidR="008F568E" w:rsidRPr="001D62A3">
        <w:rPr>
          <w:rFonts w:ascii="Arial" w:hAnsi="Arial" w:cs="Arial"/>
          <w:sz w:val="24"/>
          <w:szCs w:val="24"/>
        </w:rPr>
        <w:t xml:space="preserve">. </w:t>
      </w:r>
      <w:r>
        <w:rPr>
          <w:rFonts w:ascii="Arial" w:hAnsi="Arial" w:cs="Arial"/>
          <w:sz w:val="24"/>
          <w:szCs w:val="24"/>
        </w:rPr>
        <w:t xml:space="preserve"> </w:t>
      </w:r>
      <w:r w:rsidR="008F568E" w:rsidRPr="001D62A3">
        <w:rPr>
          <w:rFonts w:ascii="Arial" w:hAnsi="Arial" w:cs="Arial"/>
          <w:sz w:val="24"/>
          <w:szCs w:val="24"/>
        </w:rPr>
        <w:t>T</w:t>
      </w:r>
      <w:r w:rsidR="00A871A2" w:rsidRPr="001D62A3">
        <w:rPr>
          <w:rFonts w:ascii="Arial" w:hAnsi="Arial" w:cs="Arial"/>
          <w:sz w:val="24"/>
          <w:szCs w:val="24"/>
        </w:rPr>
        <w:t>he</w:t>
      </w:r>
      <w:r w:rsidR="008F568E" w:rsidRPr="001D62A3">
        <w:rPr>
          <w:rFonts w:ascii="Arial" w:hAnsi="Arial" w:cs="Arial"/>
          <w:sz w:val="24"/>
          <w:szCs w:val="24"/>
        </w:rPr>
        <w:t xml:space="preserve"> applicant</w:t>
      </w:r>
      <w:r w:rsidR="00A871A2" w:rsidRPr="001D62A3">
        <w:rPr>
          <w:rFonts w:ascii="Arial" w:hAnsi="Arial" w:cs="Arial"/>
          <w:sz w:val="24"/>
          <w:szCs w:val="24"/>
        </w:rPr>
        <w:t xml:space="preserve"> was asked to </w:t>
      </w:r>
      <w:r w:rsidR="00EC2557" w:rsidRPr="001D62A3">
        <w:rPr>
          <w:rFonts w:ascii="Arial" w:hAnsi="Arial" w:cs="Arial"/>
          <w:sz w:val="24"/>
          <w:szCs w:val="24"/>
        </w:rPr>
        <w:t>participate in a</w:t>
      </w:r>
      <w:r w:rsidR="00A871A2" w:rsidRPr="001D62A3">
        <w:rPr>
          <w:rFonts w:ascii="Arial" w:hAnsi="Arial" w:cs="Arial"/>
          <w:sz w:val="24"/>
          <w:szCs w:val="24"/>
        </w:rPr>
        <w:t xml:space="preserve"> </w:t>
      </w:r>
      <w:r w:rsidR="00EC2557" w:rsidRPr="001D62A3">
        <w:rPr>
          <w:rFonts w:ascii="Arial" w:hAnsi="Arial" w:cs="Arial"/>
          <w:sz w:val="24"/>
          <w:szCs w:val="24"/>
        </w:rPr>
        <w:t xml:space="preserve">telephone </w:t>
      </w:r>
      <w:r w:rsidR="00A871A2" w:rsidRPr="001D62A3">
        <w:rPr>
          <w:rFonts w:ascii="Arial" w:hAnsi="Arial" w:cs="Arial"/>
          <w:sz w:val="24"/>
          <w:szCs w:val="24"/>
        </w:rPr>
        <w:t xml:space="preserve">consultation with a healthcare professional (HCP) </w:t>
      </w:r>
      <w:r w:rsidR="00B54E70" w:rsidRPr="001D62A3">
        <w:rPr>
          <w:rFonts w:ascii="Arial" w:hAnsi="Arial" w:cs="Arial"/>
          <w:sz w:val="24"/>
          <w:szCs w:val="24"/>
        </w:rPr>
        <w:t xml:space="preserve">and the Department received a report of the consultation </w:t>
      </w:r>
      <w:r w:rsidR="00EC2557" w:rsidRPr="001D62A3">
        <w:rPr>
          <w:rFonts w:ascii="Arial" w:hAnsi="Arial" w:cs="Arial"/>
          <w:sz w:val="24"/>
          <w:szCs w:val="24"/>
        </w:rPr>
        <w:t xml:space="preserve">after 30 August 2022. </w:t>
      </w:r>
      <w:r>
        <w:rPr>
          <w:rFonts w:ascii="Arial" w:hAnsi="Arial" w:cs="Arial"/>
          <w:sz w:val="24"/>
          <w:szCs w:val="24"/>
        </w:rPr>
        <w:t xml:space="preserve"> </w:t>
      </w:r>
      <w:r w:rsidR="00B54E70" w:rsidRPr="001D62A3">
        <w:rPr>
          <w:rFonts w:ascii="Arial" w:hAnsi="Arial" w:cs="Arial"/>
          <w:sz w:val="24"/>
          <w:szCs w:val="24"/>
        </w:rPr>
        <w:t>O</w:t>
      </w:r>
      <w:r w:rsidR="00230303" w:rsidRPr="001D62A3">
        <w:rPr>
          <w:rFonts w:ascii="Arial" w:hAnsi="Arial" w:cs="Arial"/>
          <w:sz w:val="24"/>
          <w:szCs w:val="24"/>
        </w:rPr>
        <w:t xml:space="preserve">n </w:t>
      </w:r>
      <w:r w:rsidR="00EC2557" w:rsidRPr="001D62A3">
        <w:rPr>
          <w:rFonts w:ascii="Arial" w:hAnsi="Arial" w:cs="Arial"/>
          <w:sz w:val="24"/>
          <w:szCs w:val="24"/>
        </w:rPr>
        <w:t xml:space="preserve">15 September 2022 </w:t>
      </w:r>
      <w:r w:rsidR="00230303" w:rsidRPr="001D62A3">
        <w:rPr>
          <w:rFonts w:ascii="Arial" w:hAnsi="Arial" w:cs="Arial"/>
          <w:sz w:val="24"/>
          <w:szCs w:val="24"/>
        </w:rPr>
        <w:t xml:space="preserve">the </w:t>
      </w:r>
      <w:r w:rsidR="00A871A2" w:rsidRPr="001D62A3">
        <w:rPr>
          <w:rFonts w:ascii="Arial" w:hAnsi="Arial" w:cs="Arial"/>
          <w:sz w:val="24"/>
          <w:szCs w:val="24"/>
        </w:rPr>
        <w:t xml:space="preserve">Department decided that the applicant did not satisfy the conditions of entitlement to PIP from and including </w:t>
      </w:r>
      <w:r w:rsidR="00EC2557" w:rsidRPr="001D62A3">
        <w:rPr>
          <w:rFonts w:ascii="Arial" w:hAnsi="Arial" w:cs="Arial"/>
          <w:sz w:val="24"/>
          <w:szCs w:val="24"/>
        </w:rPr>
        <w:t>21 June 2022</w:t>
      </w:r>
      <w:r w:rsidR="00A871A2" w:rsidRPr="001D62A3">
        <w:rPr>
          <w:rFonts w:ascii="Arial" w:hAnsi="Arial" w:cs="Arial"/>
          <w:sz w:val="24"/>
          <w:szCs w:val="24"/>
        </w:rPr>
        <w:t>.</w:t>
      </w:r>
      <w:r>
        <w:rPr>
          <w:rFonts w:ascii="Arial" w:hAnsi="Arial" w:cs="Arial"/>
          <w:sz w:val="24"/>
          <w:szCs w:val="24"/>
        </w:rPr>
        <w:t xml:space="preserve"> </w:t>
      </w:r>
      <w:r w:rsidR="00A871A2" w:rsidRPr="001D62A3">
        <w:rPr>
          <w:rFonts w:ascii="Arial" w:hAnsi="Arial" w:cs="Arial"/>
          <w:sz w:val="24"/>
          <w:szCs w:val="24"/>
        </w:rPr>
        <w:t xml:space="preserve"> The applicant </w:t>
      </w:r>
      <w:r w:rsidR="00A871A2" w:rsidRPr="001D62A3">
        <w:rPr>
          <w:rFonts w:ascii="Arial" w:hAnsi="Arial" w:cs="Arial"/>
          <w:sz w:val="24"/>
          <w:szCs w:val="24"/>
        </w:rPr>
        <w:lastRenderedPageBreak/>
        <w:t>requested a r</w:t>
      </w:r>
      <w:r w:rsidR="003600CF" w:rsidRPr="001D62A3">
        <w:rPr>
          <w:rFonts w:ascii="Arial" w:hAnsi="Arial" w:cs="Arial"/>
          <w:sz w:val="24"/>
          <w:szCs w:val="24"/>
        </w:rPr>
        <w:t>econsideration of the decision</w:t>
      </w:r>
      <w:r w:rsidR="00230303" w:rsidRPr="001D62A3">
        <w:rPr>
          <w:rFonts w:ascii="Arial" w:hAnsi="Arial" w:cs="Arial"/>
          <w:sz w:val="24"/>
          <w:szCs w:val="24"/>
        </w:rPr>
        <w:t>, submitting further evidence</w:t>
      </w:r>
      <w:r w:rsidR="00EC2557" w:rsidRPr="001D62A3">
        <w:rPr>
          <w:rFonts w:ascii="Arial" w:hAnsi="Arial" w:cs="Arial"/>
          <w:sz w:val="24"/>
          <w:szCs w:val="24"/>
        </w:rPr>
        <w:t xml:space="preserve"> in the form of a personal letter</w:t>
      </w:r>
      <w:r w:rsidR="003600CF" w:rsidRPr="001D62A3">
        <w:rPr>
          <w:rFonts w:ascii="Arial" w:hAnsi="Arial" w:cs="Arial"/>
          <w:sz w:val="24"/>
          <w:szCs w:val="24"/>
        </w:rPr>
        <w:t xml:space="preserve">. </w:t>
      </w:r>
      <w:r w:rsidR="000B4895">
        <w:rPr>
          <w:rFonts w:ascii="Arial" w:hAnsi="Arial" w:cs="Arial"/>
          <w:sz w:val="24"/>
          <w:szCs w:val="24"/>
        </w:rPr>
        <w:t xml:space="preserve"> </w:t>
      </w:r>
      <w:r w:rsidR="00230303" w:rsidRPr="001D62A3">
        <w:rPr>
          <w:rFonts w:ascii="Arial" w:hAnsi="Arial" w:cs="Arial"/>
          <w:sz w:val="24"/>
          <w:szCs w:val="24"/>
        </w:rPr>
        <w:t xml:space="preserve">He </w:t>
      </w:r>
      <w:r w:rsidR="00A871A2" w:rsidRPr="001D62A3">
        <w:rPr>
          <w:rFonts w:ascii="Arial" w:hAnsi="Arial" w:cs="Arial"/>
          <w:sz w:val="24"/>
          <w:szCs w:val="24"/>
        </w:rPr>
        <w:t xml:space="preserve">was notified that the decision had been reconsidered by the Department but not revised. </w:t>
      </w:r>
      <w:r w:rsidR="000B4895">
        <w:rPr>
          <w:rFonts w:ascii="Arial" w:hAnsi="Arial" w:cs="Arial"/>
          <w:sz w:val="24"/>
          <w:szCs w:val="24"/>
        </w:rPr>
        <w:t xml:space="preserve"> </w:t>
      </w:r>
      <w:r w:rsidR="00EC78E7" w:rsidRPr="001D62A3">
        <w:rPr>
          <w:rFonts w:ascii="Arial" w:hAnsi="Arial" w:cs="Arial"/>
          <w:sz w:val="24"/>
          <w:szCs w:val="24"/>
        </w:rPr>
        <w:t>H</w:t>
      </w:r>
      <w:r w:rsidR="00A871A2" w:rsidRPr="001D62A3">
        <w:rPr>
          <w:rFonts w:ascii="Arial" w:hAnsi="Arial" w:cs="Arial"/>
          <w:sz w:val="24"/>
          <w:szCs w:val="24"/>
        </w:rPr>
        <w:t>e appealed.</w:t>
      </w:r>
    </w:p>
    <w:p w14:paraId="47F7D9A5" w14:textId="77777777" w:rsidR="006F304D" w:rsidRPr="001D62A3" w:rsidRDefault="006F304D" w:rsidP="000B4895">
      <w:pPr>
        <w:tabs>
          <w:tab w:val="left" w:pos="510"/>
          <w:tab w:val="left" w:pos="1077"/>
          <w:tab w:val="left" w:pos="1797"/>
        </w:tabs>
        <w:spacing w:after="0" w:line="240" w:lineRule="auto"/>
        <w:ind w:left="510" w:hanging="510"/>
        <w:jc w:val="both"/>
        <w:rPr>
          <w:rFonts w:ascii="Arial" w:hAnsi="Arial" w:cs="Arial"/>
          <w:sz w:val="24"/>
          <w:szCs w:val="24"/>
        </w:rPr>
      </w:pPr>
    </w:p>
    <w:p w14:paraId="0A6574B3" w14:textId="5F5485DA" w:rsidR="006F304D" w:rsidRPr="001D62A3" w:rsidRDefault="000B4895" w:rsidP="000B489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5.</w:t>
      </w:r>
      <w:r>
        <w:rPr>
          <w:rFonts w:ascii="Arial" w:hAnsi="Arial" w:cs="Arial"/>
          <w:sz w:val="24"/>
          <w:szCs w:val="24"/>
        </w:rPr>
        <w:tab/>
      </w:r>
      <w:r w:rsidR="001D7BB9" w:rsidRPr="001D62A3">
        <w:rPr>
          <w:rFonts w:ascii="Arial" w:hAnsi="Arial" w:cs="Arial"/>
          <w:sz w:val="24"/>
          <w:szCs w:val="24"/>
        </w:rPr>
        <w:t xml:space="preserve">The appeal was considered </w:t>
      </w:r>
      <w:r w:rsidR="00376224" w:rsidRPr="001D62A3">
        <w:rPr>
          <w:rFonts w:ascii="Arial" w:hAnsi="Arial" w:cs="Arial"/>
          <w:sz w:val="24"/>
          <w:szCs w:val="24"/>
        </w:rPr>
        <w:t xml:space="preserve">at a hearing on </w:t>
      </w:r>
      <w:r w:rsidR="00EC2557" w:rsidRPr="001D62A3">
        <w:rPr>
          <w:rFonts w:ascii="Arial" w:hAnsi="Arial" w:cs="Arial"/>
          <w:sz w:val="24"/>
          <w:szCs w:val="24"/>
        </w:rPr>
        <w:t xml:space="preserve">18 April 2024 </w:t>
      </w:r>
      <w:r w:rsidR="001D7BB9" w:rsidRPr="001D62A3">
        <w:rPr>
          <w:rFonts w:ascii="Arial" w:hAnsi="Arial" w:cs="Arial"/>
          <w:sz w:val="24"/>
          <w:szCs w:val="24"/>
        </w:rPr>
        <w:t xml:space="preserve">by a tribunal consisting of a legally qualified member (LQM), a medically qualified member and a disability qualified member. </w:t>
      </w:r>
      <w:r>
        <w:rPr>
          <w:rFonts w:ascii="Arial" w:hAnsi="Arial" w:cs="Arial"/>
          <w:sz w:val="24"/>
          <w:szCs w:val="24"/>
        </w:rPr>
        <w:t xml:space="preserve"> </w:t>
      </w:r>
      <w:r w:rsidR="008910CC" w:rsidRPr="001D62A3">
        <w:rPr>
          <w:rFonts w:ascii="Arial" w:hAnsi="Arial" w:cs="Arial"/>
          <w:sz w:val="24"/>
          <w:szCs w:val="24"/>
        </w:rPr>
        <w:t>T</w:t>
      </w:r>
      <w:r w:rsidR="001D7BB9" w:rsidRPr="001D62A3">
        <w:rPr>
          <w:rFonts w:ascii="Arial" w:hAnsi="Arial" w:cs="Arial"/>
          <w:sz w:val="24"/>
          <w:szCs w:val="24"/>
        </w:rPr>
        <w:t>he tribunal disallowed the appeal.</w:t>
      </w:r>
      <w:r>
        <w:rPr>
          <w:rFonts w:ascii="Arial" w:hAnsi="Arial" w:cs="Arial"/>
          <w:sz w:val="24"/>
          <w:szCs w:val="24"/>
        </w:rPr>
        <w:t xml:space="preserve"> </w:t>
      </w:r>
      <w:r w:rsidR="001D7BB9" w:rsidRPr="001D62A3">
        <w:rPr>
          <w:rFonts w:ascii="Arial" w:hAnsi="Arial" w:cs="Arial"/>
          <w:sz w:val="24"/>
          <w:szCs w:val="24"/>
        </w:rPr>
        <w:t xml:space="preserve"> The applicant then requested a statement of reasons for the tribunal’s decision and this was issued on</w:t>
      </w:r>
      <w:r w:rsidR="008F568E" w:rsidRPr="001D62A3">
        <w:rPr>
          <w:rFonts w:ascii="Arial" w:hAnsi="Arial" w:cs="Arial"/>
          <w:sz w:val="24"/>
          <w:szCs w:val="24"/>
        </w:rPr>
        <w:t xml:space="preserve"> </w:t>
      </w:r>
      <w:r w:rsidR="00EC2557" w:rsidRPr="001D62A3">
        <w:rPr>
          <w:rFonts w:ascii="Arial" w:hAnsi="Arial" w:cs="Arial"/>
          <w:sz w:val="24"/>
          <w:szCs w:val="24"/>
        </w:rPr>
        <w:t>3 July 2024</w:t>
      </w:r>
      <w:r w:rsidR="001D7BB9" w:rsidRPr="001D62A3">
        <w:rPr>
          <w:rFonts w:ascii="Arial" w:hAnsi="Arial" w:cs="Arial"/>
          <w:sz w:val="24"/>
          <w:szCs w:val="24"/>
        </w:rPr>
        <w:t xml:space="preserve">. </w:t>
      </w:r>
      <w:r>
        <w:rPr>
          <w:rFonts w:ascii="Arial" w:hAnsi="Arial" w:cs="Arial"/>
          <w:sz w:val="24"/>
          <w:szCs w:val="24"/>
        </w:rPr>
        <w:t xml:space="preserve"> </w:t>
      </w:r>
      <w:r w:rsidR="001D7BB9" w:rsidRPr="001D62A3">
        <w:rPr>
          <w:rFonts w:ascii="Arial" w:hAnsi="Arial" w:cs="Arial"/>
          <w:sz w:val="24"/>
          <w:szCs w:val="24"/>
        </w:rPr>
        <w:t>The applicant applied to the LQM for leave to appeal from the decision of the appeal tribunal but leave to appeal was refused by a determination issued on</w:t>
      </w:r>
      <w:r w:rsidR="00EC2557" w:rsidRPr="001D62A3">
        <w:rPr>
          <w:rFonts w:ascii="Arial" w:hAnsi="Arial" w:cs="Arial"/>
          <w:sz w:val="24"/>
          <w:szCs w:val="24"/>
        </w:rPr>
        <w:t xml:space="preserve"> 2 September 2024</w:t>
      </w:r>
      <w:r w:rsidR="001D7BB9" w:rsidRPr="001D62A3">
        <w:rPr>
          <w:rFonts w:ascii="Arial" w:hAnsi="Arial" w:cs="Arial"/>
          <w:sz w:val="24"/>
          <w:szCs w:val="24"/>
        </w:rPr>
        <w:t xml:space="preserve">. </w:t>
      </w:r>
      <w:r>
        <w:rPr>
          <w:rFonts w:ascii="Arial" w:hAnsi="Arial" w:cs="Arial"/>
          <w:sz w:val="24"/>
          <w:szCs w:val="24"/>
        </w:rPr>
        <w:t xml:space="preserve"> </w:t>
      </w:r>
      <w:r w:rsidR="001D7BB9" w:rsidRPr="001D62A3">
        <w:rPr>
          <w:rFonts w:ascii="Arial" w:hAnsi="Arial" w:cs="Arial"/>
          <w:sz w:val="24"/>
          <w:szCs w:val="24"/>
        </w:rPr>
        <w:t xml:space="preserve">On </w:t>
      </w:r>
      <w:r w:rsidR="00EC2557" w:rsidRPr="001D62A3">
        <w:rPr>
          <w:rFonts w:ascii="Arial" w:hAnsi="Arial" w:cs="Arial"/>
          <w:sz w:val="24"/>
          <w:szCs w:val="24"/>
        </w:rPr>
        <w:t xml:space="preserve">11 September 2024 </w:t>
      </w:r>
      <w:r w:rsidR="001D7BB9" w:rsidRPr="001D62A3">
        <w:rPr>
          <w:rFonts w:ascii="Arial" w:hAnsi="Arial" w:cs="Arial"/>
          <w:sz w:val="24"/>
          <w:szCs w:val="24"/>
        </w:rPr>
        <w:t xml:space="preserve">the applicant applied to </w:t>
      </w:r>
      <w:r w:rsidR="005951F1" w:rsidRPr="001D62A3">
        <w:rPr>
          <w:rFonts w:ascii="Arial" w:hAnsi="Arial" w:cs="Arial"/>
          <w:sz w:val="24"/>
          <w:szCs w:val="24"/>
        </w:rPr>
        <w:t>the</w:t>
      </w:r>
      <w:r w:rsidR="001D7BB9" w:rsidRPr="001D62A3">
        <w:rPr>
          <w:rFonts w:ascii="Arial" w:hAnsi="Arial" w:cs="Arial"/>
          <w:sz w:val="24"/>
          <w:szCs w:val="24"/>
        </w:rPr>
        <w:t xml:space="preserve"> Social Security Commissioner for leave to appeal.</w:t>
      </w:r>
    </w:p>
    <w:p w14:paraId="713A9DC3" w14:textId="77777777" w:rsidR="006F304D" w:rsidRPr="000B4895" w:rsidRDefault="006F304D" w:rsidP="007B4E8E">
      <w:pPr>
        <w:pStyle w:val="ListParagraph"/>
        <w:tabs>
          <w:tab w:val="left" w:pos="510"/>
          <w:tab w:val="left" w:pos="1077"/>
          <w:tab w:val="left" w:pos="1797"/>
        </w:tabs>
        <w:spacing w:after="0" w:line="240" w:lineRule="auto"/>
        <w:ind w:left="0"/>
        <w:rPr>
          <w:rFonts w:ascii="Arial" w:hAnsi="Arial" w:cs="Arial"/>
          <w:bCs/>
          <w:sz w:val="24"/>
          <w:szCs w:val="24"/>
        </w:rPr>
      </w:pPr>
    </w:p>
    <w:p w14:paraId="70C33E85" w14:textId="489FDBE1" w:rsidR="006F304D" w:rsidRPr="001D62A3" w:rsidRDefault="000B4895" w:rsidP="007B4E8E">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1D62A3">
        <w:rPr>
          <w:rFonts w:ascii="Arial" w:hAnsi="Arial" w:cs="Arial"/>
          <w:b/>
          <w:sz w:val="24"/>
          <w:szCs w:val="24"/>
        </w:rPr>
        <w:t>Grounds</w:t>
      </w:r>
    </w:p>
    <w:p w14:paraId="0D4257C0" w14:textId="77777777" w:rsidR="006F304D" w:rsidRPr="001D62A3" w:rsidRDefault="006F304D" w:rsidP="007B4E8E">
      <w:pPr>
        <w:pStyle w:val="ListParagraph"/>
        <w:tabs>
          <w:tab w:val="left" w:pos="510"/>
          <w:tab w:val="left" w:pos="1077"/>
          <w:tab w:val="left" w:pos="1797"/>
        </w:tabs>
        <w:spacing w:after="0" w:line="240" w:lineRule="auto"/>
        <w:ind w:left="0"/>
        <w:rPr>
          <w:rFonts w:ascii="Arial" w:hAnsi="Arial" w:cs="Arial"/>
          <w:sz w:val="24"/>
          <w:szCs w:val="24"/>
        </w:rPr>
      </w:pPr>
    </w:p>
    <w:p w14:paraId="452D15B9" w14:textId="772EE197" w:rsidR="00B54E70" w:rsidRPr="001D62A3" w:rsidRDefault="000B4895" w:rsidP="007B4E8E">
      <w:pPr>
        <w:tabs>
          <w:tab w:val="left" w:pos="510"/>
          <w:tab w:val="left" w:pos="1077"/>
          <w:tab w:val="left" w:pos="1797"/>
        </w:tabs>
        <w:spacing w:after="0" w:line="24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r>
      <w:r w:rsidR="001D7BB9" w:rsidRPr="001D62A3">
        <w:rPr>
          <w:rFonts w:ascii="Arial" w:hAnsi="Arial" w:cs="Arial"/>
          <w:sz w:val="24"/>
          <w:szCs w:val="24"/>
        </w:rPr>
        <w:t xml:space="preserve">The applicant submits that the tribunal has erred in law </w:t>
      </w:r>
      <w:r w:rsidR="00B54E70" w:rsidRPr="001D62A3">
        <w:rPr>
          <w:rFonts w:ascii="Arial" w:hAnsi="Arial" w:cs="Arial"/>
          <w:sz w:val="24"/>
          <w:szCs w:val="24"/>
        </w:rPr>
        <w:t>by</w:t>
      </w:r>
      <w:r w:rsidR="00EC2557" w:rsidRPr="001D62A3">
        <w:rPr>
          <w:rFonts w:ascii="Arial" w:hAnsi="Arial" w:cs="Arial"/>
          <w:sz w:val="24"/>
          <w:szCs w:val="24"/>
        </w:rPr>
        <w:t>:</w:t>
      </w:r>
    </w:p>
    <w:p w14:paraId="6DA74427" w14:textId="77777777" w:rsidR="00FA1B57" w:rsidRPr="001D62A3" w:rsidRDefault="00FA1B57" w:rsidP="007B4E8E">
      <w:pPr>
        <w:tabs>
          <w:tab w:val="left" w:pos="510"/>
          <w:tab w:val="left" w:pos="1077"/>
          <w:tab w:val="left" w:pos="1797"/>
        </w:tabs>
        <w:spacing w:after="0" w:line="240" w:lineRule="auto"/>
        <w:rPr>
          <w:rFonts w:ascii="Arial" w:hAnsi="Arial" w:cs="Arial"/>
          <w:sz w:val="24"/>
          <w:szCs w:val="24"/>
        </w:rPr>
      </w:pPr>
    </w:p>
    <w:p w14:paraId="44EE863A" w14:textId="69C2E52F" w:rsidR="00EC2557" w:rsidRPr="001D62A3" w:rsidRDefault="000B4895" w:rsidP="000B4895">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w:t>
      </w:r>
      <w:r>
        <w:rPr>
          <w:rFonts w:ascii="Arial" w:hAnsi="Arial" w:cs="Arial"/>
          <w:sz w:val="24"/>
          <w:szCs w:val="24"/>
        </w:rPr>
        <w:tab/>
      </w:r>
      <w:r w:rsidR="00EC2557" w:rsidRPr="001D62A3">
        <w:rPr>
          <w:rFonts w:ascii="Arial" w:hAnsi="Arial" w:cs="Arial"/>
          <w:sz w:val="24"/>
          <w:szCs w:val="24"/>
        </w:rPr>
        <w:t>Failing to make sufficient findings of fact;</w:t>
      </w:r>
    </w:p>
    <w:p w14:paraId="0DA034DE" w14:textId="04ADC1F9" w:rsidR="00EC2557" w:rsidRPr="001D62A3" w:rsidRDefault="000B4895" w:rsidP="000B4895">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(ii)</w:t>
      </w:r>
      <w:r>
        <w:rPr>
          <w:rFonts w:ascii="Arial" w:hAnsi="Arial" w:cs="Arial"/>
          <w:sz w:val="24"/>
          <w:szCs w:val="24"/>
        </w:rPr>
        <w:tab/>
      </w:r>
      <w:r w:rsidR="000668CE" w:rsidRPr="001D62A3">
        <w:rPr>
          <w:rFonts w:ascii="Arial" w:hAnsi="Arial" w:cs="Arial"/>
          <w:sz w:val="24"/>
          <w:szCs w:val="24"/>
        </w:rPr>
        <w:t>m</w:t>
      </w:r>
      <w:r w:rsidR="00EC2557" w:rsidRPr="001D62A3">
        <w:rPr>
          <w:rFonts w:ascii="Arial" w:hAnsi="Arial" w:cs="Arial"/>
          <w:sz w:val="24"/>
          <w:szCs w:val="24"/>
        </w:rPr>
        <w:t>aking perverse findings of fact;</w:t>
      </w:r>
      <w:r w:rsidR="000668CE" w:rsidRPr="001D62A3">
        <w:rPr>
          <w:rFonts w:ascii="Arial" w:hAnsi="Arial" w:cs="Arial"/>
          <w:sz w:val="24"/>
          <w:szCs w:val="24"/>
        </w:rPr>
        <w:t xml:space="preserve"> and</w:t>
      </w:r>
    </w:p>
    <w:p w14:paraId="5618DB4D" w14:textId="1E737662" w:rsidR="00EC2557" w:rsidRPr="001D62A3" w:rsidRDefault="000B4895" w:rsidP="000B4895">
      <w:pPr>
        <w:tabs>
          <w:tab w:val="left" w:pos="510"/>
          <w:tab w:val="left" w:pos="1077"/>
          <w:tab w:val="left" w:pos="1797"/>
        </w:tabs>
        <w:spacing w:after="0" w:line="240" w:lineRule="auto"/>
        <w:rPr>
          <w:rFonts w:ascii="Arial" w:hAnsi="Arial" w:cs="Arial"/>
          <w:sz w:val="24"/>
          <w:szCs w:val="24"/>
        </w:rPr>
      </w:pPr>
      <w:r>
        <w:rPr>
          <w:rFonts w:ascii="Arial" w:hAnsi="Arial" w:cs="Arial"/>
          <w:sz w:val="24"/>
          <w:szCs w:val="24"/>
        </w:rPr>
        <w:tab/>
        <w:t>(iii)</w:t>
      </w:r>
      <w:r>
        <w:rPr>
          <w:rFonts w:ascii="Arial" w:hAnsi="Arial" w:cs="Arial"/>
          <w:sz w:val="24"/>
          <w:szCs w:val="24"/>
        </w:rPr>
        <w:tab/>
      </w:r>
      <w:r w:rsidR="00EC2557" w:rsidRPr="001D62A3">
        <w:rPr>
          <w:rFonts w:ascii="Arial" w:hAnsi="Arial" w:cs="Arial"/>
          <w:sz w:val="24"/>
          <w:szCs w:val="24"/>
        </w:rPr>
        <w:t>“lying” about what he was capable of.</w:t>
      </w:r>
    </w:p>
    <w:p w14:paraId="12A1EAB9" w14:textId="77777777" w:rsidR="00891682" w:rsidRPr="001D62A3" w:rsidRDefault="00891682" w:rsidP="007B4E8E">
      <w:pPr>
        <w:tabs>
          <w:tab w:val="left" w:pos="510"/>
          <w:tab w:val="left" w:pos="1077"/>
          <w:tab w:val="left" w:pos="1797"/>
        </w:tabs>
        <w:spacing w:after="0" w:line="240" w:lineRule="auto"/>
        <w:rPr>
          <w:rFonts w:ascii="Arial" w:hAnsi="Arial" w:cs="Arial"/>
          <w:sz w:val="24"/>
          <w:szCs w:val="24"/>
        </w:rPr>
      </w:pPr>
    </w:p>
    <w:p w14:paraId="68B67533" w14:textId="09FF5807" w:rsidR="002243C2" w:rsidRPr="001D62A3" w:rsidRDefault="000B4895" w:rsidP="000B489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7.</w:t>
      </w:r>
      <w:r>
        <w:rPr>
          <w:rFonts w:ascii="Arial" w:hAnsi="Arial" w:cs="Arial"/>
          <w:sz w:val="24"/>
          <w:szCs w:val="24"/>
        </w:rPr>
        <w:tab/>
      </w:r>
      <w:r w:rsidR="001D7BB9" w:rsidRPr="001D62A3">
        <w:rPr>
          <w:rFonts w:ascii="Arial" w:hAnsi="Arial" w:cs="Arial"/>
          <w:sz w:val="24"/>
          <w:szCs w:val="24"/>
        </w:rPr>
        <w:t>The Department was invited to make observation</w:t>
      </w:r>
      <w:r w:rsidR="003600CF" w:rsidRPr="001D62A3">
        <w:rPr>
          <w:rFonts w:ascii="Arial" w:hAnsi="Arial" w:cs="Arial"/>
          <w:sz w:val="24"/>
          <w:szCs w:val="24"/>
        </w:rPr>
        <w:t>s on the applicant’s grounds.</w:t>
      </w:r>
      <w:r>
        <w:rPr>
          <w:rFonts w:ascii="Arial" w:hAnsi="Arial" w:cs="Arial"/>
          <w:sz w:val="24"/>
          <w:szCs w:val="24"/>
        </w:rPr>
        <w:t xml:space="preserve"> </w:t>
      </w:r>
      <w:r w:rsidR="003600CF" w:rsidRPr="001D62A3">
        <w:rPr>
          <w:rFonts w:ascii="Arial" w:hAnsi="Arial" w:cs="Arial"/>
          <w:sz w:val="24"/>
          <w:szCs w:val="24"/>
        </w:rPr>
        <w:t xml:space="preserve"> Ms</w:t>
      </w:r>
      <w:r w:rsidR="00EC2557" w:rsidRPr="001D62A3">
        <w:rPr>
          <w:rFonts w:ascii="Arial" w:hAnsi="Arial" w:cs="Arial"/>
          <w:sz w:val="24"/>
          <w:szCs w:val="24"/>
        </w:rPr>
        <w:t xml:space="preserve"> Patterson </w:t>
      </w:r>
      <w:r w:rsidR="00EC78E7" w:rsidRPr="001D62A3">
        <w:rPr>
          <w:rFonts w:ascii="Arial" w:hAnsi="Arial" w:cs="Arial"/>
          <w:sz w:val="24"/>
          <w:szCs w:val="24"/>
        </w:rPr>
        <w:t>o</w:t>
      </w:r>
      <w:r w:rsidR="001D7BB9" w:rsidRPr="001D62A3">
        <w:rPr>
          <w:rFonts w:ascii="Arial" w:hAnsi="Arial" w:cs="Arial"/>
          <w:sz w:val="24"/>
          <w:szCs w:val="24"/>
        </w:rPr>
        <w:t xml:space="preserve">f Decision Making Services (DMS) responded on behalf of the Department. </w:t>
      </w:r>
      <w:r>
        <w:rPr>
          <w:rFonts w:ascii="Arial" w:hAnsi="Arial" w:cs="Arial"/>
          <w:sz w:val="24"/>
          <w:szCs w:val="24"/>
        </w:rPr>
        <w:t xml:space="preserve"> </w:t>
      </w:r>
      <w:r w:rsidR="001D7BB9" w:rsidRPr="001D62A3">
        <w:rPr>
          <w:rFonts w:ascii="Arial" w:hAnsi="Arial" w:cs="Arial"/>
          <w:sz w:val="24"/>
          <w:szCs w:val="24"/>
        </w:rPr>
        <w:t>M</w:t>
      </w:r>
      <w:r w:rsidR="00B54E70" w:rsidRPr="001D62A3">
        <w:rPr>
          <w:rFonts w:ascii="Arial" w:hAnsi="Arial" w:cs="Arial"/>
          <w:sz w:val="24"/>
          <w:szCs w:val="24"/>
        </w:rPr>
        <w:t>s</w:t>
      </w:r>
      <w:r w:rsidR="00EC2557" w:rsidRPr="001D62A3">
        <w:rPr>
          <w:rFonts w:ascii="Arial" w:hAnsi="Arial" w:cs="Arial"/>
          <w:sz w:val="24"/>
          <w:szCs w:val="24"/>
        </w:rPr>
        <w:t xml:space="preserve"> Patterson </w:t>
      </w:r>
      <w:r w:rsidR="001D7BB9" w:rsidRPr="001D62A3">
        <w:rPr>
          <w:rFonts w:ascii="Arial" w:hAnsi="Arial" w:cs="Arial"/>
          <w:sz w:val="24"/>
          <w:szCs w:val="24"/>
        </w:rPr>
        <w:t xml:space="preserve">submitted that the tribunal had not </w:t>
      </w:r>
      <w:r w:rsidR="00891682" w:rsidRPr="001D62A3">
        <w:rPr>
          <w:rFonts w:ascii="Arial" w:hAnsi="Arial" w:cs="Arial"/>
          <w:sz w:val="24"/>
          <w:szCs w:val="24"/>
        </w:rPr>
        <w:t xml:space="preserve">materially </w:t>
      </w:r>
      <w:r w:rsidR="001D7BB9" w:rsidRPr="001D62A3">
        <w:rPr>
          <w:rFonts w:ascii="Arial" w:hAnsi="Arial" w:cs="Arial"/>
          <w:sz w:val="24"/>
          <w:szCs w:val="24"/>
        </w:rPr>
        <w:t>erred in law</w:t>
      </w:r>
      <w:r w:rsidR="00891682" w:rsidRPr="001D62A3">
        <w:rPr>
          <w:rFonts w:ascii="Arial" w:hAnsi="Arial" w:cs="Arial"/>
          <w:sz w:val="24"/>
          <w:szCs w:val="24"/>
        </w:rPr>
        <w:t xml:space="preserve">. </w:t>
      </w:r>
      <w:r>
        <w:rPr>
          <w:rFonts w:ascii="Arial" w:hAnsi="Arial" w:cs="Arial"/>
          <w:sz w:val="24"/>
          <w:szCs w:val="24"/>
        </w:rPr>
        <w:t xml:space="preserve"> </w:t>
      </w:r>
      <w:r w:rsidR="003600CF" w:rsidRPr="001D62A3">
        <w:rPr>
          <w:rFonts w:ascii="Arial" w:hAnsi="Arial" w:cs="Arial"/>
          <w:sz w:val="24"/>
          <w:szCs w:val="24"/>
        </w:rPr>
        <w:t>She</w:t>
      </w:r>
      <w:r w:rsidR="001D7BB9" w:rsidRPr="001D62A3">
        <w:rPr>
          <w:rFonts w:ascii="Arial" w:hAnsi="Arial" w:cs="Arial"/>
          <w:sz w:val="24"/>
          <w:szCs w:val="24"/>
        </w:rPr>
        <w:t xml:space="preserve"> indicated that the Department </w:t>
      </w:r>
      <w:r w:rsidR="003600CF" w:rsidRPr="001D62A3">
        <w:rPr>
          <w:rFonts w:ascii="Arial" w:hAnsi="Arial" w:cs="Arial"/>
          <w:sz w:val="24"/>
          <w:szCs w:val="24"/>
        </w:rPr>
        <w:t xml:space="preserve">did not </w:t>
      </w:r>
      <w:r w:rsidR="001D7BB9" w:rsidRPr="001D62A3">
        <w:rPr>
          <w:rFonts w:ascii="Arial" w:hAnsi="Arial" w:cs="Arial"/>
          <w:sz w:val="24"/>
          <w:szCs w:val="24"/>
        </w:rPr>
        <w:t>support the application.</w:t>
      </w:r>
    </w:p>
    <w:p w14:paraId="3ABB15FF" w14:textId="77777777" w:rsidR="002243C2" w:rsidRPr="001D62A3" w:rsidRDefault="002243C2" w:rsidP="000B4895">
      <w:pPr>
        <w:tabs>
          <w:tab w:val="left" w:pos="510"/>
          <w:tab w:val="left" w:pos="1077"/>
          <w:tab w:val="left" w:pos="1797"/>
        </w:tabs>
        <w:spacing w:after="0" w:line="240" w:lineRule="auto"/>
        <w:ind w:left="510" w:hanging="510"/>
        <w:jc w:val="both"/>
        <w:rPr>
          <w:rFonts w:ascii="Arial" w:hAnsi="Arial" w:cs="Arial"/>
          <w:sz w:val="24"/>
          <w:szCs w:val="24"/>
        </w:rPr>
      </w:pPr>
    </w:p>
    <w:p w14:paraId="3647A3C4" w14:textId="562499BF" w:rsidR="002243C2" w:rsidRPr="001D62A3" w:rsidRDefault="000B4895" w:rsidP="000B4895">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8.</w:t>
      </w:r>
      <w:r>
        <w:rPr>
          <w:rFonts w:ascii="Arial" w:hAnsi="Arial" w:cs="Arial"/>
          <w:sz w:val="24"/>
          <w:szCs w:val="24"/>
        </w:rPr>
        <w:tab/>
      </w:r>
      <w:r w:rsidR="00B95F6B" w:rsidRPr="001D62A3">
        <w:rPr>
          <w:rFonts w:ascii="Arial" w:hAnsi="Arial" w:cs="Arial"/>
          <w:sz w:val="24"/>
          <w:szCs w:val="24"/>
        </w:rPr>
        <w:t xml:space="preserve">The applicant responded by written submissions, referring to case law, and Ms Patterson made further submissions in response. </w:t>
      </w:r>
      <w:r>
        <w:rPr>
          <w:rFonts w:ascii="Arial" w:hAnsi="Arial" w:cs="Arial"/>
          <w:sz w:val="24"/>
          <w:szCs w:val="24"/>
        </w:rPr>
        <w:t xml:space="preserve"> </w:t>
      </w:r>
      <w:r w:rsidR="00F45797" w:rsidRPr="001D62A3">
        <w:rPr>
          <w:rFonts w:ascii="Arial" w:hAnsi="Arial" w:cs="Arial"/>
          <w:sz w:val="24"/>
          <w:szCs w:val="24"/>
        </w:rPr>
        <w:t>Additional</w:t>
      </w:r>
      <w:r w:rsidR="00EC7DC4" w:rsidRPr="001D62A3">
        <w:rPr>
          <w:rFonts w:ascii="Arial" w:hAnsi="Arial" w:cs="Arial"/>
          <w:sz w:val="24"/>
          <w:szCs w:val="24"/>
        </w:rPr>
        <w:t xml:space="preserve"> </w:t>
      </w:r>
      <w:r w:rsidR="005951F1" w:rsidRPr="001D62A3">
        <w:rPr>
          <w:rFonts w:ascii="Arial" w:hAnsi="Arial" w:cs="Arial"/>
          <w:sz w:val="24"/>
          <w:szCs w:val="24"/>
        </w:rPr>
        <w:t>submissions were made by each of the parties in turn.</w:t>
      </w:r>
    </w:p>
    <w:p w14:paraId="75625EA8" w14:textId="77777777" w:rsidR="002243C2" w:rsidRPr="0024114E" w:rsidRDefault="002243C2" w:rsidP="007B4E8E">
      <w:pPr>
        <w:pStyle w:val="ListParagraph"/>
        <w:tabs>
          <w:tab w:val="left" w:pos="510"/>
          <w:tab w:val="left" w:pos="1077"/>
          <w:tab w:val="left" w:pos="1797"/>
        </w:tabs>
        <w:spacing w:after="0" w:line="240" w:lineRule="auto"/>
        <w:ind w:left="0"/>
        <w:rPr>
          <w:rFonts w:ascii="Arial" w:hAnsi="Arial" w:cs="Arial"/>
          <w:bCs/>
          <w:sz w:val="24"/>
          <w:szCs w:val="24"/>
        </w:rPr>
      </w:pPr>
    </w:p>
    <w:p w14:paraId="59D645AC" w14:textId="1E26B185" w:rsidR="002243C2" w:rsidRPr="001D62A3" w:rsidRDefault="0024114E" w:rsidP="007B4E8E">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1D62A3">
        <w:rPr>
          <w:rFonts w:ascii="Arial" w:hAnsi="Arial" w:cs="Arial"/>
          <w:b/>
          <w:sz w:val="24"/>
          <w:szCs w:val="24"/>
        </w:rPr>
        <w:t>The tribunal’s decision</w:t>
      </w:r>
    </w:p>
    <w:p w14:paraId="0C3BAE08" w14:textId="77777777" w:rsidR="002243C2" w:rsidRPr="001D62A3" w:rsidRDefault="002243C2" w:rsidP="007B4E8E">
      <w:pPr>
        <w:pStyle w:val="ListParagraph"/>
        <w:tabs>
          <w:tab w:val="left" w:pos="510"/>
          <w:tab w:val="left" w:pos="1077"/>
          <w:tab w:val="left" w:pos="1797"/>
        </w:tabs>
        <w:spacing w:after="0" w:line="240" w:lineRule="auto"/>
        <w:ind w:left="0"/>
        <w:rPr>
          <w:rFonts w:ascii="Arial" w:hAnsi="Arial" w:cs="Arial"/>
          <w:sz w:val="24"/>
          <w:szCs w:val="24"/>
        </w:rPr>
      </w:pPr>
    </w:p>
    <w:p w14:paraId="68901483" w14:textId="53A04630" w:rsidR="002243C2" w:rsidRPr="001D62A3" w:rsidRDefault="0024114E" w:rsidP="00BC534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9.</w:t>
      </w:r>
      <w:r>
        <w:rPr>
          <w:rFonts w:ascii="Arial" w:hAnsi="Arial" w:cs="Arial"/>
          <w:sz w:val="24"/>
          <w:szCs w:val="24"/>
        </w:rPr>
        <w:tab/>
      </w:r>
      <w:r w:rsidR="001D7BB9" w:rsidRPr="001D62A3">
        <w:rPr>
          <w:rFonts w:ascii="Arial" w:hAnsi="Arial" w:cs="Arial"/>
          <w:sz w:val="24"/>
          <w:szCs w:val="24"/>
        </w:rPr>
        <w:t>The LQM has prepared a statement of reasons for the tribunal’s decision.</w:t>
      </w:r>
      <w:r>
        <w:rPr>
          <w:rFonts w:ascii="Arial" w:hAnsi="Arial" w:cs="Arial"/>
          <w:sz w:val="24"/>
          <w:szCs w:val="24"/>
        </w:rPr>
        <w:t xml:space="preserve"> </w:t>
      </w:r>
      <w:r w:rsidR="001D7BB9" w:rsidRPr="001D62A3">
        <w:rPr>
          <w:rFonts w:ascii="Arial" w:hAnsi="Arial" w:cs="Arial"/>
          <w:sz w:val="24"/>
          <w:szCs w:val="24"/>
        </w:rPr>
        <w:t xml:space="preserve"> From this I can see that the tribunal had documentary material before it consisting of the Department’s submission, containing the </w:t>
      </w:r>
      <w:r w:rsidR="00EC78E7" w:rsidRPr="001D62A3">
        <w:rPr>
          <w:rFonts w:ascii="Arial" w:hAnsi="Arial" w:cs="Arial"/>
          <w:sz w:val="24"/>
          <w:szCs w:val="24"/>
        </w:rPr>
        <w:t xml:space="preserve">PIP2 </w:t>
      </w:r>
      <w:r w:rsidR="00A871A2" w:rsidRPr="001D62A3">
        <w:rPr>
          <w:rFonts w:ascii="Arial" w:hAnsi="Arial" w:cs="Arial"/>
          <w:sz w:val="24"/>
          <w:szCs w:val="24"/>
        </w:rPr>
        <w:t>questionnaire completed by the applicant</w:t>
      </w:r>
      <w:r w:rsidR="00C81A39" w:rsidRPr="001D62A3">
        <w:rPr>
          <w:rFonts w:ascii="Arial" w:hAnsi="Arial" w:cs="Arial"/>
          <w:sz w:val="24"/>
          <w:szCs w:val="24"/>
        </w:rPr>
        <w:t xml:space="preserve"> and a report of a telephone consultation with a HCP on behalf of the Department</w:t>
      </w:r>
      <w:r w:rsidR="00A871A2" w:rsidRPr="001D62A3">
        <w:rPr>
          <w:rFonts w:ascii="Arial" w:hAnsi="Arial" w:cs="Arial"/>
          <w:sz w:val="24"/>
          <w:szCs w:val="24"/>
        </w:rPr>
        <w:t xml:space="preserve">. </w:t>
      </w:r>
      <w:r>
        <w:rPr>
          <w:rFonts w:ascii="Arial" w:hAnsi="Arial" w:cs="Arial"/>
          <w:sz w:val="24"/>
          <w:szCs w:val="24"/>
        </w:rPr>
        <w:t xml:space="preserve"> </w:t>
      </w:r>
      <w:r w:rsidR="00C81A39" w:rsidRPr="001D62A3">
        <w:rPr>
          <w:rFonts w:ascii="Arial" w:hAnsi="Arial" w:cs="Arial"/>
          <w:sz w:val="24"/>
          <w:szCs w:val="24"/>
        </w:rPr>
        <w:t xml:space="preserve">The applicant had also submitted his medical records to the tribunal, along with correspondence. </w:t>
      </w:r>
      <w:r>
        <w:rPr>
          <w:rFonts w:ascii="Arial" w:hAnsi="Arial" w:cs="Arial"/>
          <w:sz w:val="24"/>
          <w:szCs w:val="24"/>
        </w:rPr>
        <w:t xml:space="preserve"> </w:t>
      </w:r>
      <w:r w:rsidR="00C81A39" w:rsidRPr="001D62A3">
        <w:rPr>
          <w:rFonts w:ascii="Arial" w:hAnsi="Arial" w:cs="Arial"/>
          <w:sz w:val="24"/>
          <w:szCs w:val="24"/>
        </w:rPr>
        <w:t xml:space="preserve">The tribunal had further supplementary advice notes prepared by the Department’s medical services in response. </w:t>
      </w:r>
      <w:r>
        <w:rPr>
          <w:rFonts w:ascii="Arial" w:hAnsi="Arial" w:cs="Arial"/>
          <w:sz w:val="24"/>
          <w:szCs w:val="24"/>
        </w:rPr>
        <w:t xml:space="preserve"> </w:t>
      </w:r>
      <w:r w:rsidR="00C81A39" w:rsidRPr="001D62A3">
        <w:rPr>
          <w:rFonts w:ascii="Arial" w:hAnsi="Arial" w:cs="Arial"/>
          <w:sz w:val="24"/>
          <w:szCs w:val="24"/>
        </w:rPr>
        <w:t xml:space="preserve">The applicant attended the tribunal by way of a </w:t>
      </w:r>
      <w:r w:rsidR="005F70C9" w:rsidRPr="001D62A3">
        <w:rPr>
          <w:rFonts w:ascii="Arial" w:hAnsi="Arial" w:cs="Arial"/>
          <w:sz w:val="24"/>
          <w:szCs w:val="24"/>
        </w:rPr>
        <w:t xml:space="preserve">video link </w:t>
      </w:r>
      <w:r w:rsidR="00C81A39" w:rsidRPr="001D62A3">
        <w:rPr>
          <w:rFonts w:ascii="Arial" w:hAnsi="Arial" w:cs="Arial"/>
          <w:sz w:val="24"/>
          <w:szCs w:val="24"/>
        </w:rPr>
        <w:t xml:space="preserve">and gave oral evidence. </w:t>
      </w:r>
      <w:r>
        <w:rPr>
          <w:rFonts w:ascii="Arial" w:hAnsi="Arial" w:cs="Arial"/>
          <w:sz w:val="24"/>
          <w:szCs w:val="24"/>
        </w:rPr>
        <w:t xml:space="preserve"> </w:t>
      </w:r>
      <w:r w:rsidR="00C81A39" w:rsidRPr="001D62A3">
        <w:rPr>
          <w:rFonts w:ascii="Arial" w:hAnsi="Arial" w:cs="Arial"/>
          <w:sz w:val="24"/>
          <w:szCs w:val="24"/>
        </w:rPr>
        <w:t>The Department was not represented.</w:t>
      </w:r>
    </w:p>
    <w:p w14:paraId="7A6FDAD9" w14:textId="77777777" w:rsidR="002243C2" w:rsidRPr="001D62A3" w:rsidRDefault="002243C2" w:rsidP="00BC534F">
      <w:pPr>
        <w:tabs>
          <w:tab w:val="left" w:pos="510"/>
          <w:tab w:val="left" w:pos="1077"/>
          <w:tab w:val="left" w:pos="1797"/>
        </w:tabs>
        <w:spacing w:after="0" w:line="240" w:lineRule="auto"/>
        <w:ind w:left="510" w:hanging="510"/>
        <w:jc w:val="both"/>
        <w:rPr>
          <w:rFonts w:ascii="Arial" w:hAnsi="Arial" w:cs="Arial"/>
          <w:sz w:val="24"/>
          <w:szCs w:val="24"/>
        </w:rPr>
      </w:pPr>
    </w:p>
    <w:p w14:paraId="302BC14D" w14:textId="1031A196" w:rsidR="002243C2" w:rsidRPr="001D62A3" w:rsidRDefault="0024114E" w:rsidP="00BC534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10.</w:t>
      </w:r>
      <w:r>
        <w:rPr>
          <w:rFonts w:ascii="Arial" w:hAnsi="Arial" w:cs="Arial"/>
          <w:sz w:val="24"/>
          <w:szCs w:val="24"/>
        </w:rPr>
        <w:tab/>
      </w:r>
      <w:r w:rsidR="00C81A39" w:rsidRPr="001D62A3">
        <w:rPr>
          <w:rFonts w:ascii="Arial" w:hAnsi="Arial" w:cs="Arial"/>
          <w:sz w:val="24"/>
          <w:szCs w:val="24"/>
        </w:rPr>
        <w:t xml:space="preserve">The tribunal </w:t>
      </w:r>
      <w:r w:rsidR="005F70C9" w:rsidRPr="001D62A3">
        <w:rPr>
          <w:rFonts w:ascii="Arial" w:hAnsi="Arial" w:cs="Arial"/>
          <w:sz w:val="24"/>
          <w:szCs w:val="24"/>
        </w:rPr>
        <w:t xml:space="preserve">noted that the applicant claimed PIP on the basis of hypothyroidism, pernicious anaemia and long Covid. </w:t>
      </w:r>
      <w:r>
        <w:rPr>
          <w:rFonts w:ascii="Arial" w:hAnsi="Arial" w:cs="Arial"/>
          <w:sz w:val="24"/>
          <w:szCs w:val="24"/>
        </w:rPr>
        <w:t xml:space="preserve"> </w:t>
      </w:r>
      <w:r w:rsidR="005F70C9" w:rsidRPr="001D62A3">
        <w:rPr>
          <w:rFonts w:ascii="Arial" w:hAnsi="Arial" w:cs="Arial"/>
          <w:sz w:val="24"/>
          <w:szCs w:val="24"/>
        </w:rPr>
        <w:t xml:space="preserve">The applicant described his symptoms as brief but frequent muscle cramps and spasms, fatigue, muscle pains, aches and weakness, numbness, shaking in hands and fingers, and low mood, loss of motivation and memory and inability to </w:t>
      </w:r>
      <w:r w:rsidR="005F70C9" w:rsidRPr="001D62A3">
        <w:rPr>
          <w:rFonts w:ascii="Arial" w:hAnsi="Arial" w:cs="Arial"/>
          <w:sz w:val="24"/>
          <w:szCs w:val="24"/>
        </w:rPr>
        <w:lastRenderedPageBreak/>
        <w:t>concentrate.</w:t>
      </w:r>
      <w:r>
        <w:rPr>
          <w:rFonts w:ascii="Arial" w:hAnsi="Arial" w:cs="Arial"/>
          <w:sz w:val="24"/>
          <w:szCs w:val="24"/>
        </w:rPr>
        <w:t xml:space="preserve"> </w:t>
      </w:r>
      <w:r w:rsidR="005F70C9" w:rsidRPr="001D62A3">
        <w:rPr>
          <w:rFonts w:ascii="Arial" w:hAnsi="Arial" w:cs="Arial"/>
          <w:sz w:val="24"/>
          <w:szCs w:val="24"/>
        </w:rPr>
        <w:t xml:space="preserve"> He described symptoms of the pernicious anaemia as fatigue, memory loss, tinnitus and headaches. </w:t>
      </w:r>
      <w:r>
        <w:rPr>
          <w:rFonts w:ascii="Arial" w:hAnsi="Arial" w:cs="Arial"/>
          <w:sz w:val="24"/>
          <w:szCs w:val="24"/>
        </w:rPr>
        <w:t xml:space="preserve"> </w:t>
      </w:r>
      <w:r w:rsidR="005F70C9" w:rsidRPr="001D62A3">
        <w:rPr>
          <w:rFonts w:ascii="Arial" w:hAnsi="Arial" w:cs="Arial"/>
          <w:sz w:val="24"/>
          <w:szCs w:val="24"/>
        </w:rPr>
        <w:t xml:space="preserve">He described shortness of breath and insomnia as symptoms of long Covid. </w:t>
      </w:r>
      <w:r>
        <w:rPr>
          <w:rFonts w:ascii="Arial" w:hAnsi="Arial" w:cs="Arial"/>
          <w:sz w:val="24"/>
          <w:szCs w:val="24"/>
        </w:rPr>
        <w:t xml:space="preserve"> </w:t>
      </w:r>
      <w:r w:rsidR="002207C0" w:rsidRPr="001D62A3">
        <w:rPr>
          <w:rFonts w:ascii="Arial" w:hAnsi="Arial" w:cs="Arial"/>
          <w:sz w:val="24"/>
          <w:szCs w:val="24"/>
        </w:rPr>
        <w:t xml:space="preserve">On consideration of the medical evidence, the tribunal further found that the applicant had been experiencing depressive episodes and that he neglected his prescribed medication regime for prolonged periods. </w:t>
      </w:r>
      <w:r>
        <w:rPr>
          <w:rFonts w:ascii="Arial" w:hAnsi="Arial" w:cs="Arial"/>
          <w:sz w:val="24"/>
          <w:szCs w:val="24"/>
        </w:rPr>
        <w:t xml:space="preserve"> </w:t>
      </w:r>
      <w:r w:rsidR="002207C0" w:rsidRPr="001D62A3">
        <w:rPr>
          <w:rFonts w:ascii="Arial" w:hAnsi="Arial" w:cs="Arial"/>
          <w:sz w:val="24"/>
          <w:szCs w:val="24"/>
        </w:rPr>
        <w:t xml:space="preserve">However, the tribunal observed that the applicant was working full time at the date of decision, driving a lengthy distance between his home and workplace each day, and was looking after his </w:t>
      </w:r>
      <w:r w:rsidR="005951F1" w:rsidRPr="001D62A3">
        <w:rPr>
          <w:rFonts w:ascii="Arial" w:hAnsi="Arial" w:cs="Arial"/>
          <w:sz w:val="24"/>
          <w:szCs w:val="24"/>
        </w:rPr>
        <w:t>three</w:t>
      </w:r>
      <w:r w:rsidR="002207C0" w:rsidRPr="001D62A3">
        <w:rPr>
          <w:rFonts w:ascii="Arial" w:hAnsi="Arial" w:cs="Arial"/>
          <w:sz w:val="24"/>
          <w:szCs w:val="24"/>
        </w:rPr>
        <w:t xml:space="preserve"> year old son</w:t>
      </w:r>
      <w:r w:rsidR="005951F1" w:rsidRPr="001D62A3">
        <w:rPr>
          <w:rFonts w:ascii="Arial" w:hAnsi="Arial" w:cs="Arial"/>
          <w:sz w:val="24"/>
          <w:szCs w:val="24"/>
        </w:rPr>
        <w:t xml:space="preserve"> on</w:t>
      </w:r>
      <w:r w:rsidR="002207C0" w:rsidRPr="001D62A3">
        <w:rPr>
          <w:rFonts w:ascii="Arial" w:hAnsi="Arial" w:cs="Arial"/>
          <w:sz w:val="24"/>
          <w:szCs w:val="24"/>
        </w:rPr>
        <w:t xml:space="preserve"> two or three days each week.</w:t>
      </w:r>
    </w:p>
    <w:p w14:paraId="19A3743A" w14:textId="77777777" w:rsidR="002243C2" w:rsidRPr="001D62A3" w:rsidRDefault="002243C2" w:rsidP="00BC534F">
      <w:pPr>
        <w:pStyle w:val="ListParagraph"/>
        <w:tabs>
          <w:tab w:val="left" w:pos="510"/>
          <w:tab w:val="left" w:pos="1077"/>
          <w:tab w:val="left" w:pos="1797"/>
        </w:tabs>
        <w:spacing w:after="0" w:line="240" w:lineRule="auto"/>
        <w:ind w:left="510" w:hanging="510"/>
        <w:rPr>
          <w:rFonts w:ascii="Arial" w:hAnsi="Arial" w:cs="Arial"/>
          <w:sz w:val="24"/>
          <w:szCs w:val="24"/>
        </w:rPr>
      </w:pPr>
    </w:p>
    <w:p w14:paraId="2EAE92F6" w14:textId="051BD6CA" w:rsidR="002243C2" w:rsidRPr="001D62A3" w:rsidRDefault="0024114E" w:rsidP="00BC534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11.</w:t>
      </w:r>
      <w:r>
        <w:rPr>
          <w:rFonts w:ascii="Arial" w:hAnsi="Arial" w:cs="Arial"/>
          <w:sz w:val="24"/>
          <w:szCs w:val="24"/>
        </w:rPr>
        <w:tab/>
      </w:r>
      <w:r w:rsidR="002207C0" w:rsidRPr="001D62A3">
        <w:rPr>
          <w:rFonts w:ascii="Arial" w:hAnsi="Arial" w:cs="Arial"/>
          <w:sz w:val="24"/>
          <w:szCs w:val="24"/>
        </w:rPr>
        <w:t xml:space="preserve">The tribunal addressed the </w:t>
      </w:r>
      <w:r w:rsidR="00707F3A" w:rsidRPr="001D62A3">
        <w:rPr>
          <w:rFonts w:ascii="Arial" w:hAnsi="Arial" w:cs="Arial"/>
          <w:sz w:val="24"/>
          <w:szCs w:val="24"/>
        </w:rPr>
        <w:t xml:space="preserve">various scheduled activities </w:t>
      </w:r>
      <w:r w:rsidR="00561402" w:rsidRPr="001D62A3">
        <w:rPr>
          <w:rFonts w:ascii="Arial" w:hAnsi="Arial" w:cs="Arial"/>
          <w:sz w:val="24"/>
          <w:szCs w:val="24"/>
        </w:rPr>
        <w:t>but declined to accept the evidence of the applicant</w:t>
      </w:r>
      <w:r w:rsidR="00F62362" w:rsidRPr="001D62A3">
        <w:rPr>
          <w:rFonts w:ascii="Arial" w:hAnsi="Arial" w:cs="Arial"/>
          <w:sz w:val="24"/>
          <w:szCs w:val="24"/>
        </w:rPr>
        <w:t xml:space="preserve">, finding it unreliable and inconsistent with aspects of his lifestyle and medical treatment. </w:t>
      </w:r>
      <w:r>
        <w:rPr>
          <w:rFonts w:ascii="Arial" w:hAnsi="Arial" w:cs="Arial"/>
          <w:sz w:val="24"/>
          <w:szCs w:val="24"/>
        </w:rPr>
        <w:t xml:space="preserve"> </w:t>
      </w:r>
      <w:r w:rsidR="00F62362" w:rsidRPr="001D62A3">
        <w:rPr>
          <w:rFonts w:ascii="Arial" w:hAnsi="Arial" w:cs="Arial"/>
          <w:sz w:val="24"/>
          <w:szCs w:val="24"/>
        </w:rPr>
        <w:t>It awarded no points for daily living or mobility activities and disallowed the appeal.</w:t>
      </w:r>
    </w:p>
    <w:p w14:paraId="7A48C28D" w14:textId="77777777" w:rsidR="002243C2" w:rsidRPr="007C7A96" w:rsidRDefault="002243C2" w:rsidP="007B4E8E">
      <w:pPr>
        <w:pStyle w:val="ListParagraph"/>
        <w:tabs>
          <w:tab w:val="left" w:pos="510"/>
          <w:tab w:val="left" w:pos="1077"/>
          <w:tab w:val="left" w:pos="1797"/>
        </w:tabs>
        <w:spacing w:after="0" w:line="240" w:lineRule="auto"/>
        <w:ind w:left="0"/>
        <w:rPr>
          <w:rFonts w:ascii="Arial" w:hAnsi="Arial" w:cs="Arial"/>
          <w:bCs/>
          <w:sz w:val="24"/>
          <w:szCs w:val="24"/>
        </w:rPr>
      </w:pPr>
    </w:p>
    <w:p w14:paraId="545C9D99" w14:textId="399C5DB0" w:rsidR="002243C2" w:rsidRPr="001D62A3" w:rsidRDefault="007C7A96" w:rsidP="007B4E8E">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1D7BB9" w:rsidRPr="001D62A3">
        <w:rPr>
          <w:rFonts w:ascii="Arial" w:hAnsi="Arial" w:cs="Arial"/>
          <w:b/>
          <w:sz w:val="24"/>
          <w:szCs w:val="24"/>
        </w:rPr>
        <w:t>Relevant legislation</w:t>
      </w:r>
    </w:p>
    <w:p w14:paraId="0016D286" w14:textId="77777777" w:rsidR="002243C2" w:rsidRPr="001D62A3" w:rsidRDefault="002243C2" w:rsidP="007B4E8E">
      <w:pPr>
        <w:pStyle w:val="ListParagraph"/>
        <w:tabs>
          <w:tab w:val="left" w:pos="510"/>
          <w:tab w:val="left" w:pos="1077"/>
          <w:tab w:val="left" w:pos="1797"/>
        </w:tabs>
        <w:spacing w:after="0" w:line="240" w:lineRule="auto"/>
        <w:ind w:left="0"/>
        <w:rPr>
          <w:rFonts w:ascii="Arial" w:hAnsi="Arial" w:cs="Arial"/>
          <w:sz w:val="24"/>
          <w:szCs w:val="24"/>
        </w:rPr>
      </w:pPr>
    </w:p>
    <w:p w14:paraId="06970D4A" w14:textId="245FFAA8" w:rsidR="002243C2" w:rsidRPr="001D62A3" w:rsidRDefault="007C7A96" w:rsidP="007C7A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FD265D" w:rsidRPr="001D62A3">
        <w:rPr>
          <w:rFonts w:ascii="Arial" w:hAnsi="Arial" w:cs="Arial"/>
          <w:sz w:val="24"/>
          <w:szCs w:val="24"/>
        </w:rPr>
        <w:t xml:space="preserve">PIP was established by article 82 of the Welfare Reform (NI) Order 2015. </w:t>
      </w:r>
      <w:r>
        <w:rPr>
          <w:rFonts w:ascii="Arial" w:hAnsi="Arial" w:cs="Arial"/>
          <w:sz w:val="24"/>
          <w:szCs w:val="24"/>
        </w:rPr>
        <w:t xml:space="preserve"> </w:t>
      </w:r>
      <w:r w:rsidR="00FD265D" w:rsidRPr="001D62A3">
        <w:rPr>
          <w:rFonts w:ascii="Arial" w:hAnsi="Arial" w:cs="Arial"/>
          <w:sz w:val="24"/>
          <w:szCs w:val="24"/>
        </w:rPr>
        <w:t xml:space="preserve">It consists of a daily living component and </w:t>
      </w:r>
      <w:r w:rsidR="00841013" w:rsidRPr="001D62A3">
        <w:rPr>
          <w:rFonts w:ascii="Arial" w:hAnsi="Arial" w:cs="Arial"/>
          <w:sz w:val="24"/>
          <w:szCs w:val="24"/>
        </w:rPr>
        <w:t xml:space="preserve">a mobility component. </w:t>
      </w:r>
      <w:r>
        <w:rPr>
          <w:rFonts w:ascii="Arial" w:hAnsi="Arial" w:cs="Arial"/>
          <w:sz w:val="24"/>
          <w:szCs w:val="24"/>
        </w:rPr>
        <w:t xml:space="preserve"> </w:t>
      </w:r>
      <w:r w:rsidR="00841013" w:rsidRPr="001D62A3">
        <w:rPr>
          <w:rFonts w:ascii="Arial" w:hAnsi="Arial" w:cs="Arial"/>
          <w:sz w:val="24"/>
          <w:szCs w:val="24"/>
        </w:rPr>
        <w:t xml:space="preserve">These components may be payable to claimants whose ability to carry out daily activities or mobility activities is limited, or severely limited, by their physical or mental condition. </w:t>
      </w:r>
      <w:r>
        <w:rPr>
          <w:rFonts w:ascii="Arial" w:hAnsi="Arial" w:cs="Arial"/>
          <w:sz w:val="24"/>
          <w:szCs w:val="24"/>
        </w:rPr>
        <w:t xml:space="preserve"> </w:t>
      </w:r>
      <w:r w:rsidR="00841013" w:rsidRPr="001D62A3">
        <w:rPr>
          <w:rFonts w:ascii="Arial" w:hAnsi="Arial" w:cs="Arial"/>
          <w:sz w:val="24"/>
          <w:szCs w:val="24"/>
        </w:rPr>
        <w:t xml:space="preserve">The Personal Independence Payment Regulations (NI) 2016 </w:t>
      </w:r>
      <w:r w:rsidR="008C0E33" w:rsidRPr="001D62A3">
        <w:rPr>
          <w:rFonts w:ascii="Arial" w:hAnsi="Arial" w:cs="Arial"/>
          <w:sz w:val="24"/>
          <w:szCs w:val="24"/>
        </w:rPr>
        <w:t xml:space="preserve">(the 2016 Regulations) </w:t>
      </w:r>
      <w:r w:rsidR="00841013" w:rsidRPr="001D62A3">
        <w:rPr>
          <w:rFonts w:ascii="Arial" w:hAnsi="Arial" w:cs="Arial"/>
          <w:sz w:val="24"/>
          <w:szCs w:val="24"/>
        </w:rPr>
        <w:t>set out the detailed requirements for satisfying the above conditions.</w:t>
      </w:r>
    </w:p>
    <w:p w14:paraId="6BE5829C" w14:textId="77777777" w:rsidR="002243C2" w:rsidRPr="001D62A3" w:rsidRDefault="002243C2" w:rsidP="007C7A96">
      <w:pPr>
        <w:tabs>
          <w:tab w:val="left" w:pos="510"/>
          <w:tab w:val="left" w:pos="1077"/>
          <w:tab w:val="left" w:pos="1797"/>
        </w:tabs>
        <w:spacing w:after="0" w:line="240" w:lineRule="auto"/>
        <w:ind w:left="510" w:hanging="510"/>
        <w:jc w:val="both"/>
        <w:rPr>
          <w:rFonts w:ascii="Arial" w:hAnsi="Arial" w:cs="Arial"/>
          <w:sz w:val="24"/>
          <w:szCs w:val="24"/>
        </w:rPr>
      </w:pPr>
    </w:p>
    <w:p w14:paraId="5ED0810B" w14:textId="53CB4E91" w:rsidR="002243C2" w:rsidRPr="001D62A3" w:rsidRDefault="007C7A96" w:rsidP="007C7A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13.</w:t>
      </w:r>
      <w:r>
        <w:rPr>
          <w:rFonts w:ascii="Arial" w:hAnsi="Arial" w:cs="Arial"/>
          <w:sz w:val="24"/>
          <w:szCs w:val="24"/>
        </w:rPr>
        <w:tab/>
      </w:r>
      <w:r w:rsidR="008F3BF7" w:rsidRPr="001D62A3">
        <w:rPr>
          <w:rFonts w:ascii="Arial" w:hAnsi="Arial" w:cs="Arial"/>
          <w:sz w:val="24"/>
          <w:szCs w:val="24"/>
        </w:rPr>
        <w:t xml:space="preserve">The </w:t>
      </w:r>
      <w:r w:rsidR="008C0E33" w:rsidRPr="001D62A3">
        <w:rPr>
          <w:rFonts w:ascii="Arial" w:hAnsi="Arial" w:cs="Arial"/>
          <w:sz w:val="24"/>
          <w:szCs w:val="24"/>
        </w:rPr>
        <w:t xml:space="preserve">2016 </w:t>
      </w:r>
      <w:r w:rsidR="008F3BF7" w:rsidRPr="001D62A3">
        <w:rPr>
          <w:rFonts w:ascii="Arial" w:hAnsi="Arial" w:cs="Arial"/>
          <w:sz w:val="24"/>
          <w:szCs w:val="24"/>
        </w:rPr>
        <w:t xml:space="preserve">Regulations provide for points to be awarded when a descriptor set out in Schedule 1, Part 2 (daily living activities table) or Schedule 1, Part 3 (mobility activities table) is satisfied. </w:t>
      </w:r>
      <w:r>
        <w:rPr>
          <w:rFonts w:ascii="Arial" w:hAnsi="Arial" w:cs="Arial"/>
          <w:sz w:val="24"/>
          <w:szCs w:val="24"/>
        </w:rPr>
        <w:t xml:space="preserve"> </w:t>
      </w:r>
      <w:r w:rsidR="008F3BF7" w:rsidRPr="001D62A3">
        <w:rPr>
          <w:rFonts w:ascii="Arial" w:hAnsi="Arial" w:cs="Arial"/>
          <w:sz w:val="24"/>
          <w:szCs w:val="24"/>
        </w:rPr>
        <w:t xml:space="preserve">Subject to other conditions of entitlement, </w:t>
      </w:r>
      <w:r w:rsidR="008C0E33" w:rsidRPr="001D62A3">
        <w:rPr>
          <w:rFonts w:ascii="Arial" w:hAnsi="Arial" w:cs="Arial"/>
          <w:sz w:val="24"/>
          <w:szCs w:val="24"/>
        </w:rPr>
        <w:t xml:space="preserve">in each of the components </w:t>
      </w:r>
      <w:r w:rsidR="008F3BF7" w:rsidRPr="001D62A3">
        <w:rPr>
          <w:rFonts w:ascii="Arial" w:hAnsi="Arial" w:cs="Arial"/>
          <w:sz w:val="24"/>
          <w:szCs w:val="24"/>
        </w:rPr>
        <w:t xml:space="preserve">a claimant who obtains a score of 8 points will be awarded </w:t>
      </w:r>
      <w:r w:rsidR="008C0E33" w:rsidRPr="001D62A3">
        <w:rPr>
          <w:rFonts w:ascii="Arial" w:hAnsi="Arial" w:cs="Arial"/>
          <w:sz w:val="24"/>
          <w:szCs w:val="24"/>
        </w:rPr>
        <w:t>the standard rate of that component, while a cla</w:t>
      </w:r>
      <w:r w:rsidR="00D76B09" w:rsidRPr="001D62A3">
        <w:rPr>
          <w:rFonts w:ascii="Arial" w:hAnsi="Arial" w:cs="Arial"/>
          <w:sz w:val="24"/>
          <w:szCs w:val="24"/>
        </w:rPr>
        <w:t>i</w:t>
      </w:r>
      <w:r w:rsidR="008C0E33" w:rsidRPr="001D62A3">
        <w:rPr>
          <w:rFonts w:ascii="Arial" w:hAnsi="Arial" w:cs="Arial"/>
          <w:sz w:val="24"/>
          <w:szCs w:val="24"/>
        </w:rPr>
        <w:t>mant who obtains a score of 12 points will be awarded the enhanced rate of that component.</w:t>
      </w:r>
    </w:p>
    <w:p w14:paraId="7FF359AF" w14:textId="77777777" w:rsidR="002243C2" w:rsidRPr="001D62A3" w:rsidRDefault="002243C2" w:rsidP="007C7A96">
      <w:pPr>
        <w:pStyle w:val="ListParagraph"/>
        <w:tabs>
          <w:tab w:val="left" w:pos="510"/>
          <w:tab w:val="left" w:pos="1077"/>
          <w:tab w:val="left" w:pos="1797"/>
        </w:tabs>
        <w:spacing w:after="0" w:line="240" w:lineRule="auto"/>
        <w:ind w:left="510" w:hanging="510"/>
        <w:rPr>
          <w:rFonts w:ascii="Arial" w:hAnsi="Arial" w:cs="Arial"/>
          <w:bCs/>
          <w:sz w:val="24"/>
          <w:szCs w:val="24"/>
          <w:lang w:eastAsia="en-GB"/>
        </w:rPr>
      </w:pPr>
    </w:p>
    <w:p w14:paraId="35C494D9" w14:textId="75ABE759" w:rsidR="00F929AC" w:rsidRPr="001D62A3" w:rsidRDefault="007C7A96" w:rsidP="007C7A96">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bCs/>
          <w:sz w:val="24"/>
          <w:szCs w:val="24"/>
          <w:lang w:eastAsia="en-GB"/>
        </w:rPr>
        <w:t>14.</w:t>
      </w:r>
      <w:r>
        <w:rPr>
          <w:rFonts w:ascii="Arial" w:hAnsi="Arial" w:cs="Arial"/>
          <w:bCs/>
          <w:sz w:val="24"/>
          <w:szCs w:val="24"/>
          <w:lang w:eastAsia="en-GB"/>
        </w:rPr>
        <w:tab/>
      </w:r>
      <w:r w:rsidR="00F929AC" w:rsidRPr="001D62A3">
        <w:rPr>
          <w:rFonts w:ascii="Arial" w:hAnsi="Arial" w:cs="Arial"/>
          <w:bCs/>
          <w:sz w:val="24"/>
          <w:szCs w:val="24"/>
          <w:lang w:eastAsia="en-GB"/>
        </w:rPr>
        <w:t>Additionally, by regulation 4, certain other parameters for the assessment of daily living and mobility activities, as follows:</w:t>
      </w:r>
    </w:p>
    <w:p w14:paraId="518F0F7D" w14:textId="77777777" w:rsidR="00F929AC" w:rsidRPr="007C7A96"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78521343" w14:textId="5ED72AFB"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4.—(1) For the purposes of Article 82(2) and Article 83 or, as the case may be, 84 whether C has limited or severely limited ability to carry out daily living or mobility activities, as a result of C’s physical or mental condition, is to be determined on the basis of an assessment taking account of relevant medical evidence.</w:t>
      </w:r>
    </w:p>
    <w:p w14:paraId="7FB9DDE8"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8831521" w14:textId="7F98D471"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(2) C’s ability to carry out an activity is to be assessed—</w:t>
      </w:r>
    </w:p>
    <w:p w14:paraId="77CE5299"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4143BFF4" w14:textId="177CA492" w:rsidR="00F929AC" w:rsidRPr="001D62A3" w:rsidRDefault="007C7A96" w:rsidP="007C7A96">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(a) on the basis of C’s ability whilst wearing or using any aid or appliance which C normally wears or uses; or</w:t>
      </w:r>
    </w:p>
    <w:p w14:paraId="5F27BD98"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p>
    <w:p w14:paraId="12A154C7" w14:textId="6C28AFA5" w:rsidR="00F929AC" w:rsidRPr="001D62A3" w:rsidRDefault="007C7A96" w:rsidP="007C7A96">
      <w:pPr>
        <w:tabs>
          <w:tab w:val="left" w:pos="510"/>
          <w:tab w:val="left" w:pos="1077"/>
          <w:tab w:val="left" w:pos="1797"/>
        </w:tabs>
        <w:autoSpaceDE w:val="0"/>
        <w:autoSpaceDN w:val="0"/>
        <w:adjustRightInd w:val="0"/>
        <w:spacing w:after="0" w:line="240" w:lineRule="auto"/>
        <w:ind w:left="1077" w:hanging="1077"/>
        <w:jc w:val="both"/>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(b) as if C were wearing or using any aid or appliance which C could reasonably be expected to wear or use.</w:t>
      </w:r>
    </w:p>
    <w:p w14:paraId="523E00A0"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2FAAEC04" w14:textId="6FE74F50"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lastRenderedPageBreak/>
        <w:tab/>
      </w:r>
      <w:r w:rsidR="00F929AC" w:rsidRPr="001D62A3">
        <w:rPr>
          <w:rFonts w:ascii="Arial" w:hAnsi="Arial" w:cs="Arial"/>
          <w:sz w:val="24"/>
          <w:szCs w:val="24"/>
          <w:lang w:eastAsia="en-GB"/>
        </w:rPr>
        <w:t>(3) Where C’s ability to carry out an activity is assessed, C is to be assessed as satisfying a descriptor only if C can do so—</w:t>
      </w:r>
    </w:p>
    <w:p w14:paraId="4B2D32E3"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20061BB6" w14:textId="3BF96ED4"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(a) safely;</w:t>
      </w:r>
    </w:p>
    <w:p w14:paraId="2561E884"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821C9CC" w14:textId="69D2FC7F"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(b) to an acceptable standard;</w:t>
      </w:r>
    </w:p>
    <w:p w14:paraId="034779A5"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68125CF2" w14:textId="104E1C95"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(c) repeatedly; and</w:t>
      </w:r>
    </w:p>
    <w:p w14:paraId="23849DFD"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31ADB6DF" w14:textId="055D9931"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r>
        <w:rPr>
          <w:rFonts w:ascii="Arial" w:hAnsi="Arial" w:cs="Arial"/>
          <w:sz w:val="24"/>
          <w:szCs w:val="24"/>
          <w:lang w:eastAsia="en-GB"/>
        </w:rPr>
        <w:tab/>
      </w:r>
      <w:r>
        <w:rPr>
          <w:rFonts w:ascii="Arial" w:hAnsi="Arial" w:cs="Arial"/>
          <w:sz w:val="24"/>
          <w:szCs w:val="24"/>
          <w:lang w:eastAsia="en-GB"/>
        </w:rPr>
        <w:tab/>
      </w:r>
      <w:r w:rsidR="00F929AC" w:rsidRPr="001D62A3">
        <w:rPr>
          <w:rFonts w:ascii="Arial" w:hAnsi="Arial" w:cs="Arial"/>
          <w:sz w:val="24"/>
          <w:szCs w:val="24"/>
          <w:lang w:eastAsia="en-GB"/>
        </w:rPr>
        <w:t>(d) within a reasonable time period.</w:t>
      </w:r>
    </w:p>
    <w:p w14:paraId="704D592F"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rPr>
          <w:rFonts w:ascii="Arial" w:hAnsi="Arial" w:cs="Arial"/>
          <w:sz w:val="24"/>
          <w:szCs w:val="24"/>
          <w:lang w:eastAsia="en-GB"/>
        </w:rPr>
      </w:pPr>
    </w:p>
    <w:p w14:paraId="6263478C" w14:textId="72CAA5D2" w:rsidR="00F929AC"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(4) Where C has been assessed as having severely limited ability to carry out activities, C is not to be treated as also having limited ability in relation to the same activities.</w:t>
      </w:r>
    </w:p>
    <w:p w14:paraId="67946B87" w14:textId="77777777" w:rsidR="007C7A96"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5BCC038" w14:textId="43EE03FE"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(5) In this regulation—</w:t>
      </w:r>
    </w:p>
    <w:p w14:paraId="0526EF93"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41C19BF7" w14:textId="1D1BFAF9"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“reasonable time period” means no more than twice as long as the maximum period that a person without a physical or mental condition which limits that person’s ability to carry out the activity in question would normally take to complete that activity;</w:t>
      </w:r>
    </w:p>
    <w:p w14:paraId="3B892A19"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1820D2FB" w14:textId="5577D1D0"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“repeatedly” means as often as the activity being assessed is reasonably required to be completed; and</w:t>
      </w:r>
    </w:p>
    <w:p w14:paraId="3E4AAF1D" w14:textId="77777777" w:rsidR="00F929AC" w:rsidRPr="001D62A3" w:rsidRDefault="00F929AC"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p>
    <w:p w14:paraId="522CD3C2" w14:textId="70B8EA9B" w:rsidR="00F929AC" w:rsidRPr="001D62A3" w:rsidRDefault="007C7A96" w:rsidP="007C7A96">
      <w:pPr>
        <w:tabs>
          <w:tab w:val="left" w:pos="510"/>
          <w:tab w:val="left" w:pos="1077"/>
          <w:tab w:val="left" w:pos="1797"/>
        </w:tabs>
        <w:autoSpaceDE w:val="0"/>
        <w:autoSpaceDN w:val="0"/>
        <w:adjustRightInd w:val="0"/>
        <w:spacing w:after="0" w:line="240" w:lineRule="auto"/>
        <w:ind w:left="510" w:hanging="510"/>
        <w:jc w:val="both"/>
        <w:rPr>
          <w:rFonts w:ascii="Arial" w:hAnsi="Arial" w:cs="Arial"/>
          <w:sz w:val="24"/>
          <w:szCs w:val="24"/>
          <w:lang w:eastAsia="en-GB"/>
        </w:rPr>
      </w:pPr>
      <w:r>
        <w:rPr>
          <w:rFonts w:ascii="Arial" w:hAnsi="Arial" w:cs="Arial"/>
          <w:sz w:val="24"/>
          <w:szCs w:val="24"/>
          <w:lang w:eastAsia="en-GB"/>
        </w:rPr>
        <w:tab/>
      </w:r>
      <w:r w:rsidR="00F929AC" w:rsidRPr="001D62A3">
        <w:rPr>
          <w:rFonts w:ascii="Arial" w:hAnsi="Arial" w:cs="Arial"/>
          <w:sz w:val="24"/>
          <w:szCs w:val="24"/>
          <w:lang w:eastAsia="en-GB"/>
        </w:rPr>
        <w:t>“safely” means in a manner unlikely to cause harm to C or to another person, either during or after completion of the activity.</w:t>
      </w:r>
    </w:p>
    <w:p w14:paraId="1CC4ACB8" w14:textId="77777777" w:rsidR="00F929AC" w:rsidRPr="001D62A3" w:rsidRDefault="00F929AC" w:rsidP="007B4E8E">
      <w:pPr>
        <w:tabs>
          <w:tab w:val="left" w:pos="510"/>
          <w:tab w:val="left" w:pos="1077"/>
          <w:tab w:val="left" w:pos="1797"/>
        </w:tabs>
        <w:spacing w:after="0" w:line="240" w:lineRule="auto"/>
        <w:rPr>
          <w:rFonts w:ascii="Arial" w:hAnsi="Arial" w:cs="Arial"/>
          <w:sz w:val="24"/>
          <w:szCs w:val="24"/>
        </w:rPr>
      </w:pPr>
    </w:p>
    <w:p w14:paraId="4022D042" w14:textId="21A3CEFA" w:rsidR="001D7BB9" w:rsidRPr="001D62A3" w:rsidRDefault="007C7A96" w:rsidP="007B4E8E">
      <w:pPr>
        <w:tabs>
          <w:tab w:val="left" w:pos="510"/>
          <w:tab w:val="left" w:pos="1077"/>
          <w:tab w:val="left" w:pos="1797"/>
        </w:tabs>
        <w:spacing w:after="0" w:line="240" w:lineRule="auto"/>
        <w:rPr>
          <w:rFonts w:ascii="Arial" w:hAnsi="Arial" w:cs="Arial"/>
          <w:b/>
          <w:sz w:val="24"/>
          <w:szCs w:val="24"/>
        </w:rPr>
      </w:pPr>
      <w:r>
        <w:rPr>
          <w:rFonts w:ascii="Arial" w:hAnsi="Arial" w:cs="Arial"/>
          <w:b/>
          <w:sz w:val="24"/>
          <w:szCs w:val="24"/>
        </w:rPr>
        <w:tab/>
      </w:r>
      <w:r w:rsidR="00423739" w:rsidRPr="001D62A3">
        <w:rPr>
          <w:rFonts w:ascii="Arial" w:hAnsi="Arial" w:cs="Arial"/>
          <w:b/>
          <w:sz w:val="24"/>
          <w:szCs w:val="24"/>
        </w:rPr>
        <w:t>Submissions</w:t>
      </w:r>
    </w:p>
    <w:p w14:paraId="129C3D69" w14:textId="77777777" w:rsidR="001D7BB9" w:rsidRPr="001D62A3" w:rsidRDefault="001D7BB9" w:rsidP="007B4E8E">
      <w:pPr>
        <w:tabs>
          <w:tab w:val="left" w:pos="510"/>
          <w:tab w:val="left" w:pos="1077"/>
          <w:tab w:val="left" w:pos="1797"/>
        </w:tabs>
        <w:spacing w:after="0" w:line="240" w:lineRule="auto"/>
        <w:rPr>
          <w:rFonts w:ascii="Arial" w:hAnsi="Arial" w:cs="Arial"/>
          <w:sz w:val="24"/>
          <w:szCs w:val="24"/>
        </w:rPr>
      </w:pPr>
    </w:p>
    <w:p w14:paraId="0EEC98EC" w14:textId="69EC18D9" w:rsidR="002243C2" w:rsidRPr="001D62A3" w:rsidRDefault="007C7A96"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15.</w:t>
      </w:r>
      <w:r>
        <w:rPr>
          <w:rFonts w:ascii="Arial" w:hAnsi="Arial" w:cs="Arial"/>
          <w:sz w:val="24"/>
          <w:szCs w:val="24"/>
        </w:rPr>
        <w:tab/>
      </w:r>
      <w:r w:rsidR="00423739" w:rsidRPr="001D62A3">
        <w:rPr>
          <w:rFonts w:ascii="Arial" w:hAnsi="Arial" w:cs="Arial"/>
          <w:sz w:val="24"/>
          <w:szCs w:val="24"/>
        </w:rPr>
        <w:t xml:space="preserve">The applicant </w:t>
      </w:r>
      <w:r w:rsidR="009F4236" w:rsidRPr="001D62A3">
        <w:rPr>
          <w:rFonts w:ascii="Arial" w:hAnsi="Arial" w:cs="Arial"/>
          <w:sz w:val="24"/>
          <w:szCs w:val="24"/>
        </w:rPr>
        <w:t>essentially dispute</w:t>
      </w:r>
      <w:r w:rsidR="00630405" w:rsidRPr="001D62A3">
        <w:rPr>
          <w:rFonts w:ascii="Arial" w:hAnsi="Arial" w:cs="Arial"/>
          <w:sz w:val="24"/>
          <w:szCs w:val="24"/>
        </w:rPr>
        <w:t>d</w:t>
      </w:r>
      <w:r w:rsidR="009F4236" w:rsidRPr="001D62A3">
        <w:rPr>
          <w:rFonts w:ascii="Arial" w:hAnsi="Arial" w:cs="Arial"/>
          <w:sz w:val="24"/>
          <w:szCs w:val="24"/>
        </w:rPr>
        <w:t xml:space="preserve"> the tribunal’s findings of fact, including its conclusion that he did not suffer from long Covid. </w:t>
      </w:r>
      <w:r w:rsidR="00185954">
        <w:rPr>
          <w:rFonts w:ascii="Arial" w:hAnsi="Arial" w:cs="Arial"/>
          <w:sz w:val="24"/>
          <w:szCs w:val="24"/>
        </w:rPr>
        <w:t xml:space="preserve"> </w:t>
      </w:r>
      <w:r w:rsidR="009F4236" w:rsidRPr="001D62A3">
        <w:rPr>
          <w:rFonts w:ascii="Arial" w:hAnsi="Arial" w:cs="Arial"/>
          <w:sz w:val="24"/>
          <w:szCs w:val="24"/>
        </w:rPr>
        <w:t>He primarily challenges its findings on the level of activity he was capable of, submitting that it</w:t>
      </w:r>
      <w:r w:rsidR="00D846E9" w:rsidRPr="001D62A3">
        <w:rPr>
          <w:rFonts w:ascii="Arial" w:hAnsi="Arial" w:cs="Arial"/>
          <w:sz w:val="24"/>
          <w:szCs w:val="24"/>
        </w:rPr>
        <w:t xml:space="preserve"> made insufficient findings and</w:t>
      </w:r>
      <w:r w:rsidR="009F4236" w:rsidRPr="001D62A3">
        <w:rPr>
          <w:rFonts w:ascii="Arial" w:hAnsi="Arial" w:cs="Arial"/>
          <w:sz w:val="24"/>
          <w:szCs w:val="24"/>
        </w:rPr>
        <w:t xml:space="preserve"> reached perverse </w:t>
      </w:r>
      <w:r w:rsidR="00D846E9" w:rsidRPr="001D62A3">
        <w:rPr>
          <w:rFonts w:ascii="Arial" w:hAnsi="Arial" w:cs="Arial"/>
          <w:sz w:val="24"/>
          <w:szCs w:val="24"/>
        </w:rPr>
        <w:t xml:space="preserve">and untrue </w:t>
      </w:r>
      <w:r w:rsidR="009F4236" w:rsidRPr="001D62A3">
        <w:rPr>
          <w:rFonts w:ascii="Arial" w:hAnsi="Arial" w:cs="Arial"/>
          <w:sz w:val="24"/>
          <w:szCs w:val="24"/>
        </w:rPr>
        <w:t xml:space="preserve">findings. </w:t>
      </w:r>
      <w:r w:rsidR="00185954">
        <w:rPr>
          <w:rFonts w:ascii="Arial" w:hAnsi="Arial" w:cs="Arial"/>
          <w:sz w:val="24"/>
          <w:szCs w:val="24"/>
        </w:rPr>
        <w:t xml:space="preserve"> </w:t>
      </w:r>
      <w:r w:rsidR="00D846E9" w:rsidRPr="001D62A3">
        <w:rPr>
          <w:rFonts w:ascii="Arial" w:hAnsi="Arial" w:cs="Arial"/>
          <w:sz w:val="24"/>
          <w:szCs w:val="24"/>
        </w:rPr>
        <w:t>He relied on the subsequent deterioration of his health.</w:t>
      </w:r>
    </w:p>
    <w:p w14:paraId="25B35CEB" w14:textId="77777777" w:rsidR="002243C2" w:rsidRPr="001D62A3" w:rsidRDefault="002243C2" w:rsidP="009413F4">
      <w:pPr>
        <w:tabs>
          <w:tab w:val="left" w:pos="510"/>
          <w:tab w:val="left" w:pos="1077"/>
          <w:tab w:val="left" w:pos="1797"/>
        </w:tabs>
        <w:spacing w:after="0" w:line="240" w:lineRule="auto"/>
        <w:ind w:left="510" w:hanging="510"/>
        <w:jc w:val="both"/>
        <w:rPr>
          <w:rFonts w:ascii="Arial" w:hAnsi="Arial" w:cs="Arial"/>
          <w:sz w:val="24"/>
          <w:szCs w:val="24"/>
        </w:rPr>
      </w:pPr>
    </w:p>
    <w:p w14:paraId="6D006C46" w14:textId="13B64274" w:rsidR="002243C2" w:rsidRPr="001D62A3" w:rsidRDefault="00185954"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16.</w:t>
      </w:r>
      <w:r>
        <w:rPr>
          <w:rFonts w:ascii="Arial" w:hAnsi="Arial" w:cs="Arial"/>
          <w:sz w:val="24"/>
          <w:szCs w:val="24"/>
        </w:rPr>
        <w:tab/>
      </w:r>
      <w:r w:rsidR="009F4236" w:rsidRPr="001D62A3">
        <w:rPr>
          <w:rFonts w:ascii="Arial" w:hAnsi="Arial" w:cs="Arial"/>
          <w:sz w:val="24"/>
          <w:szCs w:val="24"/>
        </w:rPr>
        <w:t xml:space="preserve">Ms Patterson for the Department responded with observations. </w:t>
      </w:r>
      <w:r>
        <w:rPr>
          <w:rFonts w:ascii="Arial" w:hAnsi="Arial" w:cs="Arial"/>
          <w:sz w:val="24"/>
          <w:szCs w:val="24"/>
        </w:rPr>
        <w:t xml:space="preserve"> </w:t>
      </w:r>
      <w:r w:rsidR="009F4236" w:rsidRPr="001D62A3">
        <w:rPr>
          <w:rFonts w:ascii="Arial" w:hAnsi="Arial" w:cs="Arial"/>
          <w:sz w:val="24"/>
          <w:szCs w:val="24"/>
        </w:rPr>
        <w:t xml:space="preserve">She </w:t>
      </w:r>
      <w:r w:rsidR="00D846E9" w:rsidRPr="001D62A3">
        <w:rPr>
          <w:rFonts w:ascii="Arial" w:hAnsi="Arial" w:cs="Arial"/>
          <w:sz w:val="24"/>
          <w:szCs w:val="24"/>
        </w:rPr>
        <w:t xml:space="preserve">submitted that the tribunal’s findings of fact were sufficient and that it had given a decision that was based on the evidence and therefore not perverse. </w:t>
      </w:r>
      <w:r>
        <w:rPr>
          <w:rFonts w:ascii="Arial" w:hAnsi="Arial" w:cs="Arial"/>
          <w:sz w:val="24"/>
          <w:szCs w:val="24"/>
        </w:rPr>
        <w:t xml:space="preserve"> </w:t>
      </w:r>
      <w:r w:rsidR="00D846E9" w:rsidRPr="001D62A3">
        <w:rPr>
          <w:rFonts w:ascii="Arial" w:hAnsi="Arial" w:cs="Arial"/>
          <w:sz w:val="24"/>
          <w:szCs w:val="24"/>
        </w:rPr>
        <w:t xml:space="preserve">She </w:t>
      </w:r>
      <w:r w:rsidR="00663BE9" w:rsidRPr="001D62A3">
        <w:rPr>
          <w:rFonts w:ascii="Arial" w:hAnsi="Arial" w:cs="Arial"/>
          <w:sz w:val="24"/>
          <w:szCs w:val="24"/>
        </w:rPr>
        <w:t xml:space="preserve">observed that new medical evidence had been submitted </w:t>
      </w:r>
      <w:r w:rsidR="00D846E9" w:rsidRPr="001D62A3">
        <w:rPr>
          <w:rFonts w:ascii="Arial" w:hAnsi="Arial" w:cs="Arial"/>
          <w:sz w:val="24"/>
          <w:szCs w:val="24"/>
        </w:rPr>
        <w:t xml:space="preserve">to the LQM </w:t>
      </w:r>
      <w:r w:rsidR="00663BE9" w:rsidRPr="001D62A3">
        <w:rPr>
          <w:rFonts w:ascii="Arial" w:hAnsi="Arial" w:cs="Arial"/>
          <w:sz w:val="24"/>
          <w:szCs w:val="24"/>
        </w:rPr>
        <w:t>which post-dated the tribunal hearing</w:t>
      </w:r>
      <w:r w:rsidR="00D846E9" w:rsidRPr="001D62A3">
        <w:rPr>
          <w:rFonts w:ascii="Arial" w:hAnsi="Arial" w:cs="Arial"/>
          <w:sz w:val="24"/>
          <w:szCs w:val="24"/>
        </w:rPr>
        <w:t xml:space="preserve"> and submitted that a post-decision deterioration in the applicant’s health could only be addressed by way of a fresh claim. </w:t>
      </w:r>
      <w:r>
        <w:rPr>
          <w:rFonts w:ascii="Arial" w:hAnsi="Arial" w:cs="Arial"/>
          <w:sz w:val="24"/>
          <w:szCs w:val="24"/>
        </w:rPr>
        <w:t xml:space="preserve"> </w:t>
      </w:r>
      <w:r w:rsidR="00286BCD" w:rsidRPr="001D62A3">
        <w:rPr>
          <w:rFonts w:ascii="Arial" w:hAnsi="Arial" w:cs="Arial"/>
          <w:sz w:val="24"/>
          <w:szCs w:val="24"/>
        </w:rPr>
        <w:t>She submitted that the tribunal was a neutral decision maker that had disagreed with the applicant about the extent of his capabilities and rejected the submission that it “lied” about these.</w:t>
      </w:r>
    </w:p>
    <w:p w14:paraId="4446AF84"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66C83EFB" w14:textId="4A25663A" w:rsidR="002243C2" w:rsidRPr="001D62A3" w:rsidRDefault="00185954"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17.</w:t>
      </w:r>
      <w:r>
        <w:rPr>
          <w:rFonts w:ascii="Arial" w:hAnsi="Arial" w:cs="Arial"/>
          <w:sz w:val="24"/>
          <w:szCs w:val="24"/>
        </w:rPr>
        <w:tab/>
      </w:r>
      <w:r w:rsidR="00EB3F4F" w:rsidRPr="001D62A3">
        <w:rPr>
          <w:rFonts w:ascii="Arial" w:hAnsi="Arial" w:cs="Arial"/>
          <w:sz w:val="24"/>
          <w:szCs w:val="24"/>
        </w:rPr>
        <w:t xml:space="preserve">Ms Patterson did, however, raise a further matter in the applicant’s interests. </w:t>
      </w:r>
      <w:r>
        <w:rPr>
          <w:rFonts w:ascii="Arial" w:hAnsi="Arial" w:cs="Arial"/>
          <w:sz w:val="24"/>
          <w:szCs w:val="24"/>
        </w:rPr>
        <w:t xml:space="preserve"> </w:t>
      </w:r>
      <w:r w:rsidR="00EB3F4F" w:rsidRPr="001D62A3">
        <w:rPr>
          <w:rFonts w:ascii="Arial" w:hAnsi="Arial" w:cs="Arial"/>
          <w:sz w:val="24"/>
          <w:szCs w:val="24"/>
        </w:rPr>
        <w:t xml:space="preserve">She addressed the tribunal’s findings in relation to activity 9 (Engaging with other people). </w:t>
      </w:r>
      <w:r>
        <w:rPr>
          <w:rFonts w:ascii="Arial" w:hAnsi="Arial" w:cs="Arial"/>
          <w:sz w:val="24"/>
          <w:szCs w:val="24"/>
        </w:rPr>
        <w:t xml:space="preserve"> </w:t>
      </w:r>
      <w:r w:rsidR="00EB3F4F" w:rsidRPr="001D62A3">
        <w:rPr>
          <w:rFonts w:ascii="Arial" w:hAnsi="Arial" w:cs="Arial"/>
          <w:sz w:val="24"/>
          <w:szCs w:val="24"/>
        </w:rPr>
        <w:t xml:space="preserve">Whereas the tribunal had heard evidence </w:t>
      </w:r>
      <w:r w:rsidR="00EB3F4F" w:rsidRPr="001D62A3">
        <w:rPr>
          <w:rFonts w:ascii="Arial" w:hAnsi="Arial" w:cs="Arial"/>
          <w:sz w:val="24"/>
          <w:szCs w:val="24"/>
        </w:rPr>
        <w:lastRenderedPageBreak/>
        <w:t>of limitations in the applicant</w:t>
      </w:r>
      <w:r w:rsidR="00286BCD" w:rsidRPr="001D62A3">
        <w:rPr>
          <w:rFonts w:ascii="Arial" w:hAnsi="Arial" w:cs="Arial"/>
          <w:sz w:val="24"/>
          <w:szCs w:val="24"/>
        </w:rPr>
        <w:t>’s</w:t>
      </w:r>
      <w:r w:rsidR="00EB3F4F" w:rsidRPr="001D62A3">
        <w:rPr>
          <w:rFonts w:ascii="Arial" w:hAnsi="Arial" w:cs="Arial"/>
          <w:sz w:val="24"/>
          <w:szCs w:val="24"/>
        </w:rPr>
        <w:t xml:space="preserve"> ability to engage with other people, it found that this was inconsistent with the evidence of taking his son to the park or to gymnastics. </w:t>
      </w:r>
      <w:r>
        <w:rPr>
          <w:rFonts w:ascii="Arial" w:hAnsi="Arial" w:cs="Arial"/>
          <w:sz w:val="24"/>
          <w:szCs w:val="24"/>
        </w:rPr>
        <w:t xml:space="preserve"> </w:t>
      </w:r>
      <w:r w:rsidR="00EB3F4F" w:rsidRPr="001D62A3">
        <w:rPr>
          <w:rFonts w:ascii="Arial" w:hAnsi="Arial" w:cs="Arial"/>
          <w:sz w:val="24"/>
          <w:szCs w:val="24"/>
        </w:rPr>
        <w:t xml:space="preserve">Ms Patterson pointed out that the scope of activity 9 (as per </w:t>
      </w:r>
      <w:r w:rsidR="00EB3F4F" w:rsidRPr="001D62A3">
        <w:rPr>
          <w:rFonts w:ascii="Arial" w:hAnsi="Arial" w:cs="Arial"/>
          <w:i/>
          <w:iCs/>
          <w:sz w:val="24"/>
          <w:szCs w:val="24"/>
        </w:rPr>
        <w:t>AH v Department for Communities</w:t>
      </w:r>
      <w:r w:rsidR="00EB3F4F" w:rsidRPr="001D62A3">
        <w:rPr>
          <w:rFonts w:ascii="Arial" w:hAnsi="Arial" w:cs="Arial"/>
          <w:sz w:val="24"/>
          <w:szCs w:val="24"/>
        </w:rPr>
        <w:t xml:space="preserve"> [2019] NICom 20) includes the ability to establish relationships. </w:t>
      </w:r>
      <w:r>
        <w:rPr>
          <w:rFonts w:ascii="Arial" w:hAnsi="Arial" w:cs="Arial"/>
          <w:sz w:val="24"/>
          <w:szCs w:val="24"/>
        </w:rPr>
        <w:t xml:space="preserve"> </w:t>
      </w:r>
      <w:r w:rsidR="00EB3F4F" w:rsidRPr="001D62A3">
        <w:rPr>
          <w:rFonts w:ascii="Arial" w:hAnsi="Arial" w:cs="Arial"/>
          <w:sz w:val="24"/>
          <w:szCs w:val="24"/>
        </w:rPr>
        <w:t xml:space="preserve">She submitted that the tribunal’s reasons were inadequate in relation to this activity. </w:t>
      </w:r>
      <w:r>
        <w:rPr>
          <w:rFonts w:ascii="Arial" w:hAnsi="Arial" w:cs="Arial"/>
          <w:sz w:val="24"/>
          <w:szCs w:val="24"/>
        </w:rPr>
        <w:t xml:space="preserve"> </w:t>
      </w:r>
      <w:r w:rsidR="00EB3F4F" w:rsidRPr="001D62A3">
        <w:rPr>
          <w:rFonts w:ascii="Arial" w:hAnsi="Arial" w:cs="Arial"/>
          <w:sz w:val="24"/>
          <w:szCs w:val="24"/>
        </w:rPr>
        <w:t>She</w:t>
      </w:r>
      <w:r w:rsidR="0042122C" w:rsidRPr="001D62A3">
        <w:rPr>
          <w:rFonts w:ascii="Arial" w:hAnsi="Arial" w:cs="Arial"/>
          <w:sz w:val="24"/>
          <w:szCs w:val="24"/>
        </w:rPr>
        <w:t xml:space="preserve"> submitted that the tribunal may have erred in law on this ground</w:t>
      </w:r>
      <w:r w:rsidR="00286BCD" w:rsidRPr="001D62A3">
        <w:rPr>
          <w:rFonts w:ascii="Arial" w:hAnsi="Arial" w:cs="Arial"/>
          <w:sz w:val="24"/>
          <w:szCs w:val="24"/>
        </w:rPr>
        <w:t>.</w:t>
      </w:r>
      <w:r>
        <w:rPr>
          <w:rFonts w:ascii="Arial" w:hAnsi="Arial" w:cs="Arial"/>
          <w:sz w:val="24"/>
          <w:szCs w:val="24"/>
        </w:rPr>
        <w:t xml:space="preserve"> </w:t>
      </w:r>
      <w:r w:rsidR="00286BCD" w:rsidRPr="001D62A3">
        <w:rPr>
          <w:rFonts w:ascii="Arial" w:hAnsi="Arial" w:cs="Arial"/>
          <w:sz w:val="24"/>
          <w:szCs w:val="24"/>
        </w:rPr>
        <w:t xml:space="preserve"> However, she</w:t>
      </w:r>
      <w:r w:rsidR="00EB3F4F" w:rsidRPr="001D62A3">
        <w:rPr>
          <w:rFonts w:ascii="Arial" w:hAnsi="Arial" w:cs="Arial"/>
          <w:sz w:val="24"/>
          <w:szCs w:val="24"/>
        </w:rPr>
        <w:t xml:space="preserve"> noted that the resulting number of points awarded was unlikely to materially alter the outcome of an appeal</w:t>
      </w:r>
      <w:r w:rsidR="00D841B7" w:rsidRPr="001D62A3">
        <w:rPr>
          <w:rFonts w:ascii="Arial" w:hAnsi="Arial" w:cs="Arial"/>
          <w:sz w:val="24"/>
          <w:szCs w:val="24"/>
        </w:rPr>
        <w:t>, as no tribunal would be likely to award 8 points for descriptor 9.d.</w:t>
      </w:r>
    </w:p>
    <w:p w14:paraId="2B250FD5"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47DD2064" w14:textId="33F52E47" w:rsidR="002243C2" w:rsidRPr="001D62A3" w:rsidRDefault="00185954"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18.</w:t>
      </w:r>
      <w:r>
        <w:rPr>
          <w:rFonts w:ascii="Arial" w:hAnsi="Arial" w:cs="Arial"/>
          <w:sz w:val="24"/>
          <w:szCs w:val="24"/>
        </w:rPr>
        <w:tab/>
      </w:r>
      <w:r w:rsidR="00EB3F4F" w:rsidRPr="001D62A3">
        <w:rPr>
          <w:rFonts w:ascii="Arial" w:hAnsi="Arial" w:cs="Arial"/>
          <w:sz w:val="24"/>
          <w:szCs w:val="24"/>
        </w:rPr>
        <w:t xml:space="preserve">The applicant duly responded. </w:t>
      </w:r>
      <w:r w:rsidR="00395592">
        <w:rPr>
          <w:rFonts w:ascii="Arial" w:hAnsi="Arial" w:cs="Arial"/>
          <w:sz w:val="24"/>
          <w:szCs w:val="24"/>
        </w:rPr>
        <w:t xml:space="preserve"> </w:t>
      </w:r>
      <w:r w:rsidR="002F7793" w:rsidRPr="001D62A3">
        <w:rPr>
          <w:rFonts w:ascii="Arial" w:hAnsi="Arial" w:cs="Arial"/>
          <w:sz w:val="24"/>
          <w:szCs w:val="24"/>
        </w:rPr>
        <w:t xml:space="preserve">He submitted that the tribunal had erred in its findings and submitted that </w:t>
      </w:r>
      <w:r w:rsidR="00286BCD" w:rsidRPr="001D62A3">
        <w:rPr>
          <w:rFonts w:ascii="Arial" w:hAnsi="Arial" w:cs="Arial"/>
          <w:sz w:val="24"/>
          <w:szCs w:val="24"/>
        </w:rPr>
        <w:t xml:space="preserve">a </w:t>
      </w:r>
      <w:r w:rsidR="002F7793" w:rsidRPr="001D62A3">
        <w:rPr>
          <w:rFonts w:ascii="Arial" w:hAnsi="Arial" w:cs="Arial"/>
          <w:sz w:val="24"/>
          <w:szCs w:val="24"/>
        </w:rPr>
        <w:t>recent diagnosis</w:t>
      </w:r>
      <w:r w:rsidR="00286BCD" w:rsidRPr="001D62A3">
        <w:rPr>
          <w:rFonts w:ascii="Arial" w:hAnsi="Arial" w:cs="Arial"/>
          <w:sz w:val="24"/>
          <w:szCs w:val="24"/>
        </w:rPr>
        <w:t xml:space="preserve"> of chronic fatigue syndrome</w:t>
      </w:r>
      <w:r w:rsidR="002F7793" w:rsidRPr="001D62A3">
        <w:rPr>
          <w:rFonts w:ascii="Arial" w:hAnsi="Arial" w:cs="Arial"/>
          <w:sz w:val="24"/>
          <w:szCs w:val="24"/>
        </w:rPr>
        <w:t xml:space="preserve">, albeit that it that post-dated the hearing, gave confirmation of his symptoms at the date of decision. </w:t>
      </w:r>
      <w:r w:rsidR="00395592">
        <w:rPr>
          <w:rFonts w:ascii="Arial" w:hAnsi="Arial" w:cs="Arial"/>
          <w:sz w:val="24"/>
          <w:szCs w:val="24"/>
        </w:rPr>
        <w:t xml:space="preserve"> </w:t>
      </w:r>
      <w:r w:rsidR="002F7793" w:rsidRPr="001D62A3">
        <w:rPr>
          <w:rFonts w:ascii="Arial" w:hAnsi="Arial" w:cs="Arial"/>
          <w:sz w:val="24"/>
          <w:szCs w:val="24"/>
        </w:rPr>
        <w:t xml:space="preserve">He submitted that the tribunal had erred in its assessment of his credibility, relying on </w:t>
      </w:r>
      <w:r w:rsidR="002F7793" w:rsidRPr="001D62A3">
        <w:rPr>
          <w:rFonts w:ascii="Arial" w:hAnsi="Arial" w:cs="Arial"/>
          <w:i/>
          <w:iCs/>
          <w:sz w:val="24"/>
          <w:szCs w:val="24"/>
        </w:rPr>
        <w:t>ID v Secretary of State for Work and Pensions</w:t>
      </w:r>
      <w:r w:rsidR="002F7793" w:rsidRPr="001D62A3">
        <w:rPr>
          <w:rFonts w:ascii="Arial" w:hAnsi="Arial" w:cs="Arial"/>
          <w:sz w:val="24"/>
          <w:szCs w:val="24"/>
        </w:rPr>
        <w:t xml:space="preserve">. </w:t>
      </w:r>
      <w:r w:rsidR="00395592">
        <w:rPr>
          <w:rFonts w:ascii="Arial" w:hAnsi="Arial" w:cs="Arial"/>
          <w:sz w:val="24"/>
          <w:szCs w:val="24"/>
        </w:rPr>
        <w:t xml:space="preserve"> </w:t>
      </w:r>
      <w:r w:rsidR="002F7793" w:rsidRPr="001D62A3">
        <w:rPr>
          <w:rFonts w:ascii="Arial" w:hAnsi="Arial" w:cs="Arial"/>
          <w:sz w:val="24"/>
          <w:szCs w:val="24"/>
        </w:rPr>
        <w:t xml:space="preserve">He further relied on </w:t>
      </w:r>
      <w:r w:rsidR="002F7793" w:rsidRPr="001D62A3">
        <w:rPr>
          <w:rFonts w:ascii="Arial" w:hAnsi="Arial" w:cs="Arial"/>
          <w:i/>
          <w:iCs/>
          <w:sz w:val="24"/>
          <w:szCs w:val="24"/>
        </w:rPr>
        <w:t>AH v DfC</w:t>
      </w:r>
      <w:r w:rsidR="002F7793" w:rsidRPr="001D62A3">
        <w:rPr>
          <w:rFonts w:ascii="Arial" w:hAnsi="Arial" w:cs="Arial"/>
          <w:sz w:val="24"/>
          <w:szCs w:val="24"/>
        </w:rPr>
        <w:t xml:space="preserve">, </w:t>
      </w:r>
      <w:r w:rsidR="008A48E1" w:rsidRPr="001D62A3">
        <w:rPr>
          <w:rFonts w:ascii="Arial" w:hAnsi="Arial" w:cs="Arial"/>
          <w:sz w:val="24"/>
          <w:szCs w:val="24"/>
        </w:rPr>
        <w:t>which w</w:t>
      </w:r>
      <w:r w:rsidR="002F7793" w:rsidRPr="001D62A3">
        <w:rPr>
          <w:rFonts w:ascii="Arial" w:hAnsi="Arial" w:cs="Arial"/>
          <w:sz w:val="24"/>
          <w:szCs w:val="24"/>
        </w:rPr>
        <w:t>as first raised by Ms Patterson.</w:t>
      </w:r>
    </w:p>
    <w:p w14:paraId="09307725"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23577F9D" w14:textId="16555688" w:rsidR="002243C2" w:rsidRPr="001D62A3" w:rsidRDefault="00395592"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19.</w:t>
      </w:r>
      <w:r>
        <w:rPr>
          <w:rFonts w:ascii="Arial" w:hAnsi="Arial" w:cs="Arial"/>
          <w:sz w:val="24"/>
          <w:szCs w:val="24"/>
        </w:rPr>
        <w:tab/>
      </w:r>
      <w:r w:rsidR="002F7793" w:rsidRPr="001D62A3">
        <w:rPr>
          <w:rFonts w:ascii="Arial" w:hAnsi="Arial" w:cs="Arial"/>
          <w:sz w:val="24"/>
          <w:szCs w:val="24"/>
        </w:rPr>
        <w:t>Ms Patterson responded in turn.</w:t>
      </w:r>
      <w:r>
        <w:rPr>
          <w:rFonts w:ascii="Arial" w:hAnsi="Arial" w:cs="Arial"/>
          <w:sz w:val="24"/>
          <w:szCs w:val="24"/>
        </w:rPr>
        <w:t xml:space="preserve"> </w:t>
      </w:r>
      <w:r w:rsidR="002F7793" w:rsidRPr="001D62A3">
        <w:rPr>
          <w:rFonts w:ascii="Arial" w:hAnsi="Arial" w:cs="Arial"/>
          <w:sz w:val="24"/>
          <w:szCs w:val="24"/>
        </w:rPr>
        <w:t xml:space="preserve"> She submitted that </w:t>
      </w:r>
      <w:r w:rsidR="002F7793" w:rsidRPr="001D62A3">
        <w:rPr>
          <w:rFonts w:ascii="Arial" w:hAnsi="Arial" w:cs="Arial"/>
          <w:i/>
          <w:iCs/>
          <w:sz w:val="24"/>
          <w:szCs w:val="24"/>
        </w:rPr>
        <w:t>ID v SSWP</w:t>
      </w:r>
      <w:r w:rsidR="002F7793" w:rsidRPr="001D62A3">
        <w:rPr>
          <w:rFonts w:ascii="Arial" w:hAnsi="Arial" w:cs="Arial"/>
          <w:sz w:val="24"/>
          <w:szCs w:val="24"/>
        </w:rPr>
        <w:t xml:space="preserve"> [2015] UKUT 692 addressed the issue of ocular observations by a tribunal in the course of a hearing. </w:t>
      </w:r>
      <w:r>
        <w:rPr>
          <w:rFonts w:ascii="Arial" w:hAnsi="Arial" w:cs="Arial"/>
          <w:sz w:val="24"/>
          <w:szCs w:val="24"/>
        </w:rPr>
        <w:t xml:space="preserve"> </w:t>
      </w:r>
      <w:r w:rsidR="002F7793" w:rsidRPr="001D62A3">
        <w:rPr>
          <w:rFonts w:ascii="Arial" w:hAnsi="Arial" w:cs="Arial"/>
          <w:sz w:val="24"/>
          <w:szCs w:val="24"/>
        </w:rPr>
        <w:t xml:space="preserve">She submitted that no relevant observations were made that would fall into that category. </w:t>
      </w:r>
      <w:r>
        <w:rPr>
          <w:rFonts w:ascii="Arial" w:hAnsi="Arial" w:cs="Arial"/>
          <w:sz w:val="24"/>
          <w:szCs w:val="24"/>
        </w:rPr>
        <w:t xml:space="preserve"> </w:t>
      </w:r>
      <w:r w:rsidR="002F7793" w:rsidRPr="001D62A3">
        <w:rPr>
          <w:rFonts w:ascii="Arial" w:hAnsi="Arial" w:cs="Arial"/>
          <w:sz w:val="24"/>
          <w:szCs w:val="24"/>
        </w:rPr>
        <w:t>She submitted that the tribunal could only consider the evidence that was in front of it and was entitled to place weight on that evidence.</w:t>
      </w:r>
    </w:p>
    <w:p w14:paraId="6EC77436"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74C23513" w14:textId="5578F3A5" w:rsidR="002243C2" w:rsidRPr="001D62A3" w:rsidRDefault="00395592"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20.</w:t>
      </w:r>
      <w:r>
        <w:rPr>
          <w:rFonts w:ascii="Arial" w:hAnsi="Arial" w:cs="Arial"/>
          <w:sz w:val="24"/>
          <w:szCs w:val="24"/>
        </w:rPr>
        <w:tab/>
      </w:r>
      <w:r w:rsidR="002847BF" w:rsidRPr="001D62A3">
        <w:rPr>
          <w:rFonts w:ascii="Arial" w:hAnsi="Arial" w:cs="Arial"/>
          <w:sz w:val="24"/>
          <w:szCs w:val="24"/>
        </w:rPr>
        <w:t xml:space="preserve">The applicant replied, submitting that the symptoms he had described to the tribunal could now be attributed to chronic fatigue syndrome, as per his recent diagnosis, rather than due to hypothyroidism as was the explanation offered in the past. </w:t>
      </w:r>
      <w:r>
        <w:rPr>
          <w:rFonts w:ascii="Arial" w:hAnsi="Arial" w:cs="Arial"/>
          <w:sz w:val="24"/>
          <w:szCs w:val="24"/>
        </w:rPr>
        <w:t xml:space="preserve"> </w:t>
      </w:r>
      <w:r w:rsidR="002847BF" w:rsidRPr="001D62A3">
        <w:rPr>
          <w:rFonts w:ascii="Arial" w:hAnsi="Arial" w:cs="Arial"/>
          <w:sz w:val="24"/>
          <w:szCs w:val="24"/>
        </w:rPr>
        <w:t>He queried how the panel could assess if he looked fatigued, as he understood that there was a problem with the video connection</w:t>
      </w:r>
      <w:r w:rsidR="00673925" w:rsidRPr="001D62A3">
        <w:rPr>
          <w:rFonts w:ascii="Arial" w:hAnsi="Arial" w:cs="Arial"/>
          <w:sz w:val="24"/>
          <w:szCs w:val="24"/>
        </w:rPr>
        <w:t xml:space="preserve"> of the disability qualified member</w:t>
      </w:r>
      <w:r w:rsidR="002847BF" w:rsidRPr="001D62A3">
        <w:rPr>
          <w:rFonts w:ascii="Arial" w:hAnsi="Arial" w:cs="Arial"/>
          <w:sz w:val="24"/>
          <w:szCs w:val="24"/>
        </w:rPr>
        <w:t>.</w:t>
      </w:r>
      <w:r>
        <w:rPr>
          <w:rFonts w:ascii="Arial" w:hAnsi="Arial" w:cs="Arial"/>
          <w:sz w:val="24"/>
          <w:szCs w:val="24"/>
        </w:rPr>
        <w:t xml:space="preserve"> </w:t>
      </w:r>
      <w:r w:rsidR="002847BF" w:rsidRPr="001D62A3">
        <w:rPr>
          <w:rFonts w:ascii="Arial" w:hAnsi="Arial" w:cs="Arial"/>
          <w:sz w:val="24"/>
          <w:szCs w:val="24"/>
        </w:rPr>
        <w:t xml:space="preserve"> He submitted that issues considered around his compliance, or otherwise, with his levothyroxine medication regime could now be understood better in the context of his present diagnosis. </w:t>
      </w:r>
      <w:r>
        <w:rPr>
          <w:rFonts w:ascii="Arial" w:hAnsi="Arial" w:cs="Arial"/>
          <w:sz w:val="24"/>
          <w:szCs w:val="24"/>
        </w:rPr>
        <w:t xml:space="preserve"> </w:t>
      </w:r>
      <w:r w:rsidR="00673925" w:rsidRPr="001D62A3">
        <w:rPr>
          <w:rFonts w:ascii="Arial" w:hAnsi="Arial" w:cs="Arial"/>
          <w:sz w:val="24"/>
          <w:szCs w:val="24"/>
        </w:rPr>
        <w:t>He submitted that the tribunal had failed to discharge its inquisitorial role.</w:t>
      </w:r>
    </w:p>
    <w:p w14:paraId="597B04AD"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5F6F348A" w14:textId="05F6E583" w:rsidR="002243C2" w:rsidRPr="001D62A3" w:rsidRDefault="00395592"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21.</w:t>
      </w:r>
      <w:r>
        <w:rPr>
          <w:rFonts w:ascii="Arial" w:hAnsi="Arial" w:cs="Arial"/>
          <w:sz w:val="24"/>
          <w:szCs w:val="24"/>
        </w:rPr>
        <w:tab/>
      </w:r>
      <w:r w:rsidR="002847BF" w:rsidRPr="001D62A3">
        <w:rPr>
          <w:rFonts w:ascii="Arial" w:hAnsi="Arial" w:cs="Arial"/>
          <w:sz w:val="24"/>
          <w:szCs w:val="24"/>
        </w:rPr>
        <w:t>In further submissions the applicant addressed the scheduled activities individually</w:t>
      </w:r>
      <w:r w:rsidR="00673925" w:rsidRPr="001D62A3">
        <w:rPr>
          <w:rFonts w:ascii="Arial" w:hAnsi="Arial" w:cs="Arial"/>
          <w:sz w:val="24"/>
          <w:szCs w:val="24"/>
        </w:rPr>
        <w:t xml:space="preserve"> on the basis of his present state of health</w:t>
      </w:r>
      <w:r w:rsidR="008A48E1" w:rsidRPr="001D62A3">
        <w:rPr>
          <w:rFonts w:ascii="Arial" w:hAnsi="Arial" w:cs="Arial"/>
          <w:sz w:val="24"/>
          <w:szCs w:val="24"/>
        </w:rPr>
        <w:t xml:space="preserve"> by noting the questions asked and some of the statements attributed to him in the record of proceedings and offering further evidence in relation to them</w:t>
      </w:r>
      <w:r w:rsidR="00673925" w:rsidRPr="001D62A3">
        <w:rPr>
          <w:rFonts w:ascii="Arial" w:hAnsi="Arial" w:cs="Arial"/>
          <w:sz w:val="24"/>
          <w:szCs w:val="24"/>
        </w:rPr>
        <w:t>.</w:t>
      </w:r>
    </w:p>
    <w:p w14:paraId="483F8E37"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493FA607" w14:textId="2012A242" w:rsidR="002243C2" w:rsidRPr="001D62A3" w:rsidRDefault="00E77B2F"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22.</w:t>
      </w:r>
      <w:r>
        <w:rPr>
          <w:rFonts w:ascii="Arial" w:hAnsi="Arial" w:cs="Arial"/>
          <w:sz w:val="24"/>
          <w:szCs w:val="24"/>
        </w:rPr>
        <w:tab/>
      </w:r>
      <w:r w:rsidR="002847BF" w:rsidRPr="001D62A3">
        <w:rPr>
          <w:rFonts w:ascii="Arial" w:hAnsi="Arial" w:cs="Arial"/>
          <w:sz w:val="24"/>
          <w:szCs w:val="24"/>
        </w:rPr>
        <w:t xml:space="preserve">In reply, Ms Patterson </w:t>
      </w:r>
      <w:r w:rsidR="008A48E1" w:rsidRPr="001D62A3">
        <w:rPr>
          <w:rFonts w:ascii="Arial" w:hAnsi="Arial" w:cs="Arial"/>
          <w:sz w:val="24"/>
          <w:szCs w:val="24"/>
        </w:rPr>
        <w:t>submitt</w:t>
      </w:r>
      <w:r w:rsidR="002847BF" w:rsidRPr="001D62A3">
        <w:rPr>
          <w:rFonts w:ascii="Arial" w:hAnsi="Arial" w:cs="Arial"/>
          <w:sz w:val="24"/>
          <w:szCs w:val="24"/>
        </w:rPr>
        <w:t xml:space="preserve">ed that the evidence as to whether the applicant </w:t>
      </w:r>
      <w:r w:rsidR="0032412E" w:rsidRPr="001D62A3">
        <w:rPr>
          <w:rFonts w:ascii="Arial" w:hAnsi="Arial" w:cs="Arial"/>
          <w:sz w:val="24"/>
          <w:szCs w:val="24"/>
        </w:rPr>
        <w:t>showe</w:t>
      </w:r>
      <w:r w:rsidR="002847BF" w:rsidRPr="001D62A3">
        <w:rPr>
          <w:rFonts w:ascii="Arial" w:hAnsi="Arial" w:cs="Arial"/>
          <w:sz w:val="24"/>
          <w:szCs w:val="24"/>
        </w:rPr>
        <w:t xml:space="preserve">d </w:t>
      </w:r>
      <w:r w:rsidR="0032412E" w:rsidRPr="001D62A3">
        <w:rPr>
          <w:rFonts w:ascii="Arial" w:hAnsi="Arial" w:cs="Arial"/>
          <w:sz w:val="24"/>
          <w:szCs w:val="24"/>
        </w:rPr>
        <w:t xml:space="preserve">signs of </w:t>
      </w:r>
      <w:r w:rsidR="002847BF" w:rsidRPr="001D62A3">
        <w:rPr>
          <w:rFonts w:ascii="Arial" w:hAnsi="Arial" w:cs="Arial"/>
          <w:sz w:val="24"/>
          <w:szCs w:val="24"/>
        </w:rPr>
        <w:t>fatigue came from the HCP report, not the tribunal’s</w:t>
      </w:r>
      <w:r w:rsidR="00AF565E" w:rsidRPr="001D62A3">
        <w:rPr>
          <w:rFonts w:ascii="Arial" w:hAnsi="Arial" w:cs="Arial"/>
          <w:sz w:val="24"/>
          <w:szCs w:val="24"/>
        </w:rPr>
        <w:t xml:space="preserve"> ocular </w:t>
      </w:r>
      <w:r w:rsidR="002847BF" w:rsidRPr="001D62A3">
        <w:rPr>
          <w:rFonts w:ascii="Arial" w:hAnsi="Arial" w:cs="Arial"/>
          <w:sz w:val="24"/>
          <w:szCs w:val="24"/>
        </w:rPr>
        <w:t>observations</w:t>
      </w:r>
      <w:r w:rsidR="00AF565E" w:rsidRPr="001D62A3">
        <w:rPr>
          <w:rFonts w:ascii="Arial" w:hAnsi="Arial" w:cs="Arial"/>
          <w:sz w:val="24"/>
          <w:szCs w:val="24"/>
        </w:rPr>
        <w:t xml:space="preserve">. </w:t>
      </w:r>
      <w:r w:rsidR="009413F4">
        <w:rPr>
          <w:rFonts w:ascii="Arial" w:hAnsi="Arial" w:cs="Arial"/>
          <w:sz w:val="24"/>
          <w:szCs w:val="24"/>
        </w:rPr>
        <w:t xml:space="preserve"> </w:t>
      </w:r>
      <w:r w:rsidR="00AF565E" w:rsidRPr="001D62A3">
        <w:rPr>
          <w:rFonts w:ascii="Arial" w:hAnsi="Arial" w:cs="Arial"/>
          <w:sz w:val="24"/>
          <w:szCs w:val="24"/>
        </w:rPr>
        <w:t>S</w:t>
      </w:r>
      <w:r w:rsidR="00673925" w:rsidRPr="001D62A3">
        <w:rPr>
          <w:rFonts w:ascii="Arial" w:hAnsi="Arial" w:cs="Arial"/>
          <w:sz w:val="24"/>
          <w:szCs w:val="24"/>
        </w:rPr>
        <w:t>he continued to rely on her previous submissions</w:t>
      </w:r>
      <w:r w:rsidR="002847BF" w:rsidRPr="001D62A3">
        <w:rPr>
          <w:rFonts w:ascii="Arial" w:hAnsi="Arial" w:cs="Arial"/>
          <w:sz w:val="24"/>
          <w:szCs w:val="24"/>
        </w:rPr>
        <w:t>.</w:t>
      </w:r>
    </w:p>
    <w:p w14:paraId="29D1306A"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593B0C20" w14:textId="72EB8695" w:rsidR="002243C2" w:rsidRPr="001D62A3" w:rsidRDefault="009413F4"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23.</w:t>
      </w:r>
      <w:r>
        <w:rPr>
          <w:rFonts w:ascii="Arial" w:hAnsi="Arial" w:cs="Arial"/>
          <w:sz w:val="24"/>
          <w:szCs w:val="24"/>
        </w:rPr>
        <w:tab/>
      </w:r>
      <w:r w:rsidR="00AF565E" w:rsidRPr="001D62A3">
        <w:rPr>
          <w:rFonts w:ascii="Arial" w:hAnsi="Arial" w:cs="Arial"/>
          <w:sz w:val="24"/>
          <w:szCs w:val="24"/>
        </w:rPr>
        <w:t xml:space="preserve">The applicant responded by submitting that he had been slandered. </w:t>
      </w:r>
      <w:r>
        <w:rPr>
          <w:rFonts w:ascii="Arial" w:hAnsi="Arial" w:cs="Arial"/>
          <w:sz w:val="24"/>
          <w:szCs w:val="24"/>
        </w:rPr>
        <w:t xml:space="preserve"> </w:t>
      </w:r>
      <w:r w:rsidR="00AF565E" w:rsidRPr="001D62A3">
        <w:rPr>
          <w:rFonts w:ascii="Arial" w:hAnsi="Arial" w:cs="Arial"/>
          <w:sz w:val="24"/>
          <w:szCs w:val="24"/>
        </w:rPr>
        <w:t xml:space="preserve">He expressed frustration with the </w:t>
      </w:r>
      <w:r w:rsidR="003226DE" w:rsidRPr="001D62A3">
        <w:rPr>
          <w:rFonts w:ascii="Arial" w:hAnsi="Arial" w:cs="Arial"/>
          <w:sz w:val="24"/>
          <w:szCs w:val="24"/>
        </w:rPr>
        <w:t xml:space="preserve">adjudication </w:t>
      </w:r>
      <w:r w:rsidR="00AF565E" w:rsidRPr="001D62A3">
        <w:rPr>
          <w:rFonts w:ascii="Arial" w:hAnsi="Arial" w:cs="Arial"/>
          <w:sz w:val="24"/>
          <w:szCs w:val="24"/>
        </w:rPr>
        <w:t xml:space="preserve">process since he first claimed </w:t>
      </w:r>
      <w:r w:rsidR="00AF565E" w:rsidRPr="001D62A3">
        <w:rPr>
          <w:rFonts w:ascii="Arial" w:hAnsi="Arial" w:cs="Arial"/>
          <w:sz w:val="24"/>
          <w:szCs w:val="24"/>
        </w:rPr>
        <w:lastRenderedPageBreak/>
        <w:t xml:space="preserve">PIP in June 2022. </w:t>
      </w:r>
      <w:r>
        <w:rPr>
          <w:rFonts w:ascii="Arial" w:hAnsi="Arial" w:cs="Arial"/>
          <w:sz w:val="24"/>
          <w:szCs w:val="24"/>
        </w:rPr>
        <w:t xml:space="preserve"> </w:t>
      </w:r>
      <w:r w:rsidR="00AF565E" w:rsidRPr="001D62A3">
        <w:rPr>
          <w:rFonts w:ascii="Arial" w:hAnsi="Arial" w:cs="Arial"/>
          <w:sz w:val="24"/>
          <w:szCs w:val="24"/>
        </w:rPr>
        <w:t xml:space="preserve">He made </w:t>
      </w:r>
      <w:r w:rsidR="003226DE" w:rsidRPr="001D62A3">
        <w:rPr>
          <w:rFonts w:ascii="Arial" w:hAnsi="Arial" w:cs="Arial"/>
          <w:sz w:val="24"/>
          <w:szCs w:val="24"/>
        </w:rPr>
        <w:t xml:space="preserve">what I judge to be </w:t>
      </w:r>
      <w:r w:rsidR="00AF565E" w:rsidRPr="001D62A3">
        <w:rPr>
          <w:rFonts w:ascii="Arial" w:hAnsi="Arial" w:cs="Arial"/>
          <w:sz w:val="24"/>
          <w:szCs w:val="24"/>
        </w:rPr>
        <w:t xml:space="preserve">emotionally manipulative and abusive </w:t>
      </w:r>
      <w:r w:rsidR="003226DE" w:rsidRPr="001D62A3">
        <w:rPr>
          <w:rFonts w:ascii="Arial" w:hAnsi="Arial" w:cs="Arial"/>
          <w:sz w:val="24"/>
          <w:szCs w:val="24"/>
        </w:rPr>
        <w:t>statements</w:t>
      </w:r>
      <w:r w:rsidR="00AF565E" w:rsidRPr="001D62A3">
        <w:rPr>
          <w:rFonts w:ascii="Arial" w:hAnsi="Arial" w:cs="Arial"/>
          <w:sz w:val="24"/>
          <w:szCs w:val="24"/>
        </w:rPr>
        <w:t xml:space="preserve"> </w:t>
      </w:r>
      <w:r w:rsidR="003226DE" w:rsidRPr="001D62A3">
        <w:rPr>
          <w:rFonts w:ascii="Arial" w:hAnsi="Arial" w:cs="Arial"/>
          <w:sz w:val="24"/>
          <w:szCs w:val="24"/>
        </w:rPr>
        <w:t>direct</w:t>
      </w:r>
      <w:r w:rsidR="00AF565E" w:rsidRPr="001D62A3">
        <w:rPr>
          <w:rFonts w:ascii="Arial" w:hAnsi="Arial" w:cs="Arial"/>
          <w:sz w:val="24"/>
          <w:szCs w:val="24"/>
        </w:rPr>
        <w:t xml:space="preserve">ed </w:t>
      </w:r>
      <w:r w:rsidR="003226DE" w:rsidRPr="001D62A3">
        <w:rPr>
          <w:rFonts w:ascii="Arial" w:hAnsi="Arial" w:cs="Arial"/>
          <w:sz w:val="24"/>
          <w:szCs w:val="24"/>
        </w:rPr>
        <w:t>a</w:t>
      </w:r>
      <w:r w:rsidR="00AF565E" w:rsidRPr="001D62A3">
        <w:rPr>
          <w:rFonts w:ascii="Arial" w:hAnsi="Arial" w:cs="Arial"/>
          <w:sz w:val="24"/>
          <w:szCs w:val="24"/>
        </w:rPr>
        <w:t>t Ms Patterson.</w:t>
      </w:r>
    </w:p>
    <w:p w14:paraId="494D1B9D" w14:textId="77777777" w:rsidR="002243C2" w:rsidRPr="001D62A3" w:rsidRDefault="002243C2" w:rsidP="009413F4">
      <w:pPr>
        <w:pStyle w:val="ListParagraph"/>
        <w:tabs>
          <w:tab w:val="left" w:pos="510"/>
          <w:tab w:val="left" w:pos="1077"/>
          <w:tab w:val="left" w:pos="1797"/>
        </w:tabs>
        <w:spacing w:after="0" w:line="240" w:lineRule="auto"/>
        <w:ind w:left="510" w:hanging="510"/>
        <w:rPr>
          <w:rFonts w:ascii="Arial" w:hAnsi="Arial" w:cs="Arial"/>
          <w:sz w:val="24"/>
          <w:szCs w:val="24"/>
        </w:rPr>
      </w:pPr>
    </w:p>
    <w:p w14:paraId="2E2936C5" w14:textId="7CCC0810" w:rsidR="002243C2" w:rsidRPr="001D62A3" w:rsidRDefault="009413F4" w:rsidP="009413F4">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24.</w:t>
      </w:r>
      <w:r>
        <w:rPr>
          <w:rFonts w:ascii="Arial" w:hAnsi="Arial" w:cs="Arial"/>
          <w:sz w:val="24"/>
          <w:szCs w:val="24"/>
        </w:rPr>
        <w:tab/>
      </w:r>
      <w:r w:rsidR="005C1187" w:rsidRPr="001D62A3">
        <w:rPr>
          <w:rFonts w:ascii="Arial" w:hAnsi="Arial" w:cs="Arial"/>
          <w:sz w:val="24"/>
          <w:szCs w:val="24"/>
        </w:rPr>
        <w:t xml:space="preserve">Before </w:t>
      </w:r>
      <w:r w:rsidR="003226DE" w:rsidRPr="001D62A3">
        <w:rPr>
          <w:rFonts w:ascii="Arial" w:hAnsi="Arial" w:cs="Arial"/>
          <w:sz w:val="24"/>
          <w:szCs w:val="24"/>
        </w:rPr>
        <w:t xml:space="preserve">proceeding further with </w:t>
      </w:r>
      <w:r w:rsidR="005C1187" w:rsidRPr="001D62A3">
        <w:rPr>
          <w:rFonts w:ascii="Arial" w:hAnsi="Arial" w:cs="Arial"/>
          <w:sz w:val="24"/>
          <w:szCs w:val="24"/>
        </w:rPr>
        <w:t>my determination, I wish to observe that Ms Patterson, and all other Departmental representatives, tribunal members and staff of the Office of the Social Security Commissioner are simply carrying out their statutory responsibilit</w:t>
      </w:r>
      <w:r w:rsidR="00EC7DC4" w:rsidRPr="001D62A3">
        <w:rPr>
          <w:rFonts w:ascii="Arial" w:hAnsi="Arial" w:cs="Arial"/>
          <w:sz w:val="24"/>
          <w:szCs w:val="24"/>
        </w:rPr>
        <w:t>ies</w:t>
      </w:r>
      <w:r w:rsidR="005C1187" w:rsidRPr="001D62A3">
        <w:rPr>
          <w:rFonts w:ascii="Arial" w:hAnsi="Arial" w:cs="Arial"/>
          <w:sz w:val="24"/>
          <w:szCs w:val="24"/>
        </w:rPr>
        <w:t xml:space="preserve"> in good faith. </w:t>
      </w:r>
      <w:r>
        <w:rPr>
          <w:rFonts w:ascii="Arial" w:hAnsi="Arial" w:cs="Arial"/>
          <w:sz w:val="24"/>
          <w:szCs w:val="24"/>
        </w:rPr>
        <w:t xml:space="preserve"> </w:t>
      </w:r>
      <w:r w:rsidR="005C1187" w:rsidRPr="001D62A3">
        <w:rPr>
          <w:rFonts w:ascii="Arial" w:hAnsi="Arial" w:cs="Arial"/>
          <w:sz w:val="24"/>
          <w:szCs w:val="24"/>
        </w:rPr>
        <w:t xml:space="preserve">They have no personal animosity towards </w:t>
      </w:r>
      <w:r w:rsidR="003226DE" w:rsidRPr="001D62A3">
        <w:rPr>
          <w:rFonts w:ascii="Arial" w:hAnsi="Arial" w:cs="Arial"/>
          <w:sz w:val="24"/>
          <w:szCs w:val="24"/>
        </w:rPr>
        <w:t>any</w:t>
      </w:r>
      <w:r w:rsidR="005C1187" w:rsidRPr="001D62A3">
        <w:rPr>
          <w:rFonts w:ascii="Arial" w:hAnsi="Arial" w:cs="Arial"/>
          <w:sz w:val="24"/>
          <w:szCs w:val="24"/>
        </w:rPr>
        <w:t xml:space="preserve"> applicant but are simply doing their own jobs to the best of their ability. </w:t>
      </w:r>
      <w:r>
        <w:rPr>
          <w:rFonts w:ascii="Arial" w:hAnsi="Arial" w:cs="Arial"/>
          <w:sz w:val="24"/>
          <w:szCs w:val="24"/>
        </w:rPr>
        <w:t xml:space="preserve"> </w:t>
      </w:r>
      <w:r w:rsidR="00AB0F3C" w:rsidRPr="001D62A3">
        <w:rPr>
          <w:rFonts w:ascii="Arial" w:hAnsi="Arial" w:cs="Arial"/>
          <w:sz w:val="24"/>
          <w:szCs w:val="24"/>
        </w:rPr>
        <w:t xml:space="preserve">I consider that it is unfair of the applicant to project improper motives on to them. </w:t>
      </w:r>
      <w:r>
        <w:rPr>
          <w:rFonts w:ascii="Arial" w:hAnsi="Arial" w:cs="Arial"/>
          <w:sz w:val="24"/>
          <w:szCs w:val="24"/>
        </w:rPr>
        <w:t xml:space="preserve"> </w:t>
      </w:r>
      <w:r w:rsidR="00AB0F3C" w:rsidRPr="001D62A3">
        <w:rPr>
          <w:rFonts w:ascii="Arial" w:hAnsi="Arial" w:cs="Arial"/>
          <w:sz w:val="24"/>
          <w:szCs w:val="24"/>
        </w:rPr>
        <w:t>I have no doubt that he is personally experiencing emotion</w:t>
      </w:r>
      <w:r w:rsidR="003226DE" w:rsidRPr="001D62A3">
        <w:rPr>
          <w:rFonts w:ascii="Arial" w:hAnsi="Arial" w:cs="Arial"/>
          <w:sz w:val="24"/>
          <w:szCs w:val="24"/>
        </w:rPr>
        <w:t>al difficulties</w:t>
      </w:r>
      <w:r w:rsidR="00AB0F3C" w:rsidRPr="001D62A3">
        <w:rPr>
          <w:rFonts w:ascii="Arial" w:hAnsi="Arial" w:cs="Arial"/>
          <w:sz w:val="24"/>
          <w:szCs w:val="24"/>
        </w:rPr>
        <w:t xml:space="preserve"> in </w:t>
      </w:r>
      <w:r w:rsidR="003226DE" w:rsidRPr="001D62A3">
        <w:rPr>
          <w:rFonts w:ascii="Arial" w:hAnsi="Arial" w:cs="Arial"/>
          <w:sz w:val="24"/>
          <w:szCs w:val="24"/>
        </w:rPr>
        <w:t>his life</w:t>
      </w:r>
      <w:r w:rsidR="00AB0F3C" w:rsidRPr="001D62A3">
        <w:rPr>
          <w:rFonts w:ascii="Arial" w:hAnsi="Arial" w:cs="Arial"/>
          <w:sz w:val="24"/>
          <w:szCs w:val="24"/>
        </w:rPr>
        <w:t xml:space="preserve">. </w:t>
      </w:r>
      <w:r>
        <w:rPr>
          <w:rFonts w:ascii="Arial" w:hAnsi="Arial" w:cs="Arial"/>
          <w:sz w:val="24"/>
          <w:szCs w:val="24"/>
        </w:rPr>
        <w:t xml:space="preserve"> </w:t>
      </w:r>
      <w:r w:rsidR="00AB0F3C" w:rsidRPr="001D62A3">
        <w:rPr>
          <w:rFonts w:ascii="Arial" w:hAnsi="Arial" w:cs="Arial"/>
          <w:sz w:val="24"/>
          <w:szCs w:val="24"/>
        </w:rPr>
        <w:t xml:space="preserve">However, that does not </w:t>
      </w:r>
      <w:r w:rsidR="00EC7DC4" w:rsidRPr="001D62A3">
        <w:rPr>
          <w:rFonts w:ascii="Arial" w:hAnsi="Arial" w:cs="Arial"/>
          <w:sz w:val="24"/>
          <w:szCs w:val="24"/>
        </w:rPr>
        <w:t xml:space="preserve">give </w:t>
      </w:r>
      <w:r w:rsidR="003226DE" w:rsidRPr="001D62A3">
        <w:rPr>
          <w:rFonts w:ascii="Arial" w:hAnsi="Arial" w:cs="Arial"/>
          <w:sz w:val="24"/>
          <w:szCs w:val="24"/>
        </w:rPr>
        <w:t>justification</w:t>
      </w:r>
      <w:r w:rsidR="00AB0F3C" w:rsidRPr="001D62A3">
        <w:rPr>
          <w:rFonts w:ascii="Arial" w:hAnsi="Arial" w:cs="Arial"/>
          <w:sz w:val="24"/>
          <w:szCs w:val="24"/>
        </w:rPr>
        <w:t xml:space="preserve"> </w:t>
      </w:r>
      <w:r w:rsidR="00EC7DC4" w:rsidRPr="001D62A3">
        <w:rPr>
          <w:rFonts w:ascii="Arial" w:hAnsi="Arial" w:cs="Arial"/>
          <w:sz w:val="24"/>
          <w:szCs w:val="24"/>
        </w:rPr>
        <w:t>for</w:t>
      </w:r>
      <w:r w:rsidR="00AB0F3C" w:rsidRPr="001D62A3">
        <w:rPr>
          <w:rFonts w:ascii="Arial" w:hAnsi="Arial" w:cs="Arial"/>
          <w:sz w:val="24"/>
          <w:szCs w:val="24"/>
        </w:rPr>
        <w:t xml:space="preserve"> seeking to </w:t>
      </w:r>
      <w:r w:rsidR="003226DE" w:rsidRPr="001D62A3">
        <w:rPr>
          <w:rFonts w:ascii="Arial" w:hAnsi="Arial" w:cs="Arial"/>
          <w:sz w:val="24"/>
          <w:szCs w:val="24"/>
        </w:rPr>
        <w:t>transfer his</w:t>
      </w:r>
      <w:r w:rsidR="00AB0F3C" w:rsidRPr="001D62A3">
        <w:rPr>
          <w:rFonts w:ascii="Arial" w:hAnsi="Arial" w:cs="Arial"/>
          <w:sz w:val="24"/>
          <w:szCs w:val="24"/>
        </w:rPr>
        <w:t xml:space="preserve"> emotional disturbance </w:t>
      </w:r>
      <w:r w:rsidR="003226DE" w:rsidRPr="001D62A3">
        <w:rPr>
          <w:rFonts w:ascii="Arial" w:hAnsi="Arial" w:cs="Arial"/>
          <w:sz w:val="24"/>
          <w:szCs w:val="24"/>
        </w:rPr>
        <w:t>on</w:t>
      </w:r>
      <w:r w:rsidR="00AB0F3C" w:rsidRPr="001D62A3">
        <w:rPr>
          <w:rFonts w:ascii="Arial" w:hAnsi="Arial" w:cs="Arial"/>
          <w:sz w:val="24"/>
          <w:szCs w:val="24"/>
        </w:rPr>
        <w:t>to other</w:t>
      </w:r>
      <w:r w:rsidR="003226DE" w:rsidRPr="001D62A3">
        <w:rPr>
          <w:rFonts w:ascii="Arial" w:hAnsi="Arial" w:cs="Arial"/>
          <w:sz w:val="24"/>
          <w:szCs w:val="24"/>
        </w:rPr>
        <w:t xml:space="preserve"> people</w:t>
      </w:r>
      <w:r w:rsidR="00AB0F3C" w:rsidRPr="001D62A3">
        <w:rPr>
          <w:rFonts w:ascii="Arial" w:hAnsi="Arial" w:cs="Arial"/>
          <w:sz w:val="24"/>
          <w:szCs w:val="24"/>
        </w:rPr>
        <w:t>.</w:t>
      </w:r>
    </w:p>
    <w:p w14:paraId="7E26EA25" w14:textId="77777777" w:rsidR="002243C2" w:rsidRPr="009413F4" w:rsidRDefault="002243C2" w:rsidP="007B4E8E">
      <w:pPr>
        <w:pStyle w:val="ListParagraph"/>
        <w:tabs>
          <w:tab w:val="left" w:pos="510"/>
          <w:tab w:val="left" w:pos="1077"/>
          <w:tab w:val="left" w:pos="1797"/>
        </w:tabs>
        <w:spacing w:after="0" w:line="240" w:lineRule="auto"/>
        <w:ind w:left="0"/>
        <w:rPr>
          <w:rFonts w:ascii="Arial" w:hAnsi="Arial" w:cs="Arial"/>
          <w:bCs/>
          <w:sz w:val="24"/>
          <w:szCs w:val="24"/>
        </w:rPr>
      </w:pPr>
    </w:p>
    <w:p w14:paraId="35F191B1" w14:textId="6D31103A" w:rsidR="002243C2" w:rsidRPr="001D62A3" w:rsidRDefault="00F36E1C" w:rsidP="007B4E8E">
      <w:pPr>
        <w:tabs>
          <w:tab w:val="left" w:pos="510"/>
          <w:tab w:val="left" w:pos="1077"/>
          <w:tab w:val="left" w:pos="1797"/>
        </w:tabs>
        <w:spacing w:after="0" w:line="240" w:lineRule="auto"/>
        <w:jc w:val="both"/>
        <w:rPr>
          <w:rFonts w:ascii="Arial" w:hAnsi="Arial" w:cs="Arial"/>
          <w:sz w:val="24"/>
          <w:szCs w:val="24"/>
        </w:rPr>
      </w:pPr>
      <w:r>
        <w:rPr>
          <w:rFonts w:ascii="Arial" w:hAnsi="Arial" w:cs="Arial"/>
          <w:b/>
          <w:sz w:val="24"/>
          <w:szCs w:val="24"/>
        </w:rPr>
        <w:tab/>
      </w:r>
      <w:r w:rsidR="00423739" w:rsidRPr="001D62A3">
        <w:rPr>
          <w:rFonts w:ascii="Arial" w:hAnsi="Arial" w:cs="Arial"/>
          <w:b/>
          <w:sz w:val="24"/>
          <w:szCs w:val="24"/>
        </w:rPr>
        <w:t>Assessment</w:t>
      </w:r>
    </w:p>
    <w:p w14:paraId="0F6EFDB5" w14:textId="77777777" w:rsidR="002243C2" w:rsidRPr="001D62A3" w:rsidRDefault="002243C2" w:rsidP="007B4E8E">
      <w:pPr>
        <w:pStyle w:val="ListParagraph"/>
        <w:tabs>
          <w:tab w:val="left" w:pos="510"/>
          <w:tab w:val="left" w:pos="1077"/>
          <w:tab w:val="left" w:pos="1797"/>
        </w:tabs>
        <w:spacing w:after="0" w:line="240" w:lineRule="auto"/>
        <w:ind w:left="0"/>
        <w:rPr>
          <w:rFonts w:ascii="Arial" w:hAnsi="Arial" w:cs="Arial"/>
          <w:sz w:val="24"/>
          <w:szCs w:val="24"/>
        </w:rPr>
      </w:pPr>
    </w:p>
    <w:p w14:paraId="3007CA64" w14:textId="5E33347D"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25.</w:t>
      </w:r>
      <w:r>
        <w:rPr>
          <w:rFonts w:ascii="Arial" w:hAnsi="Arial" w:cs="Arial"/>
          <w:sz w:val="24"/>
          <w:szCs w:val="24"/>
        </w:rPr>
        <w:tab/>
      </w:r>
      <w:r w:rsidR="004E34D6" w:rsidRPr="001D62A3">
        <w:rPr>
          <w:rFonts w:ascii="Arial" w:hAnsi="Arial" w:cs="Arial"/>
          <w:sz w:val="24"/>
          <w:szCs w:val="24"/>
        </w:rPr>
        <w:t xml:space="preserve">An appeal lies to a Commissioner from any decision of an appeal tribunal on the ground that the decision of the tribunal was erroneous in point of law. </w:t>
      </w:r>
      <w:r>
        <w:rPr>
          <w:rFonts w:ascii="Arial" w:hAnsi="Arial" w:cs="Arial"/>
          <w:sz w:val="24"/>
          <w:szCs w:val="24"/>
        </w:rPr>
        <w:t xml:space="preserve"> </w:t>
      </w:r>
      <w:r w:rsidR="004E34D6" w:rsidRPr="001D62A3">
        <w:rPr>
          <w:rFonts w:ascii="Arial" w:hAnsi="Arial" w:cs="Arial"/>
          <w:sz w:val="24"/>
          <w:szCs w:val="24"/>
        </w:rPr>
        <w:t>However, the party who wishes to bring an appeal must first obtain leave to appeal.</w:t>
      </w:r>
    </w:p>
    <w:p w14:paraId="35EC3CAA" w14:textId="77777777" w:rsidR="002243C2" w:rsidRPr="001D62A3" w:rsidRDefault="002243C2" w:rsidP="00F2040F">
      <w:pPr>
        <w:tabs>
          <w:tab w:val="left" w:pos="510"/>
          <w:tab w:val="left" w:pos="1077"/>
          <w:tab w:val="left" w:pos="1797"/>
        </w:tabs>
        <w:spacing w:after="0" w:line="240" w:lineRule="auto"/>
        <w:ind w:left="510" w:hanging="510"/>
        <w:jc w:val="both"/>
        <w:rPr>
          <w:rFonts w:ascii="Arial" w:hAnsi="Arial" w:cs="Arial"/>
          <w:sz w:val="24"/>
          <w:szCs w:val="24"/>
        </w:rPr>
      </w:pPr>
    </w:p>
    <w:p w14:paraId="42E01389" w14:textId="1DEBA5FE"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26.</w:t>
      </w:r>
      <w:r>
        <w:rPr>
          <w:rFonts w:ascii="Arial" w:hAnsi="Arial" w:cs="Arial"/>
          <w:sz w:val="24"/>
          <w:szCs w:val="24"/>
        </w:rPr>
        <w:tab/>
      </w:r>
      <w:r w:rsidR="004E34D6" w:rsidRPr="001D62A3">
        <w:rPr>
          <w:rFonts w:ascii="Arial" w:hAnsi="Arial" w:cs="Arial"/>
          <w:sz w:val="24"/>
          <w:szCs w:val="24"/>
        </w:rPr>
        <w:t xml:space="preserve">Leave to appeal is a filter mechanism. </w:t>
      </w:r>
      <w:r>
        <w:rPr>
          <w:rFonts w:ascii="Arial" w:hAnsi="Arial" w:cs="Arial"/>
          <w:sz w:val="24"/>
          <w:szCs w:val="24"/>
        </w:rPr>
        <w:t xml:space="preserve"> </w:t>
      </w:r>
      <w:r w:rsidR="004E34D6" w:rsidRPr="001D62A3">
        <w:rPr>
          <w:rFonts w:ascii="Arial" w:hAnsi="Arial" w:cs="Arial"/>
          <w:sz w:val="24"/>
          <w:szCs w:val="24"/>
        </w:rPr>
        <w:t>It ensures that only applicants who establish an arguable case that the appeal tribunal has erred in law can appeal to the Commissioner.</w:t>
      </w:r>
    </w:p>
    <w:p w14:paraId="295A3714" w14:textId="77777777" w:rsidR="002243C2" w:rsidRPr="001D62A3" w:rsidRDefault="002243C2" w:rsidP="00F2040F">
      <w:pPr>
        <w:pStyle w:val="ListParagraph"/>
        <w:tabs>
          <w:tab w:val="left" w:pos="510"/>
          <w:tab w:val="left" w:pos="1077"/>
          <w:tab w:val="left" w:pos="1797"/>
        </w:tabs>
        <w:spacing w:after="0" w:line="240" w:lineRule="auto"/>
        <w:ind w:left="510" w:hanging="510"/>
        <w:rPr>
          <w:rFonts w:ascii="Arial" w:hAnsi="Arial" w:cs="Arial"/>
          <w:sz w:val="24"/>
          <w:szCs w:val="24"/>
        </w:rPr>
      </w:pPr>
    </w:p>
    <w:p w14:paraId="04FFB89C" w14:textId="2E97D012"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27.</w:t>
      </w:r>
      <w:r>
        <w:rPr>
          <w:rFonts w:ascii="Arial" w:hAnsi="Arial" w:cs="Arial"/>
          <w:sz w:val="24"/>
          <w:szCs w:val="24"/>
        </w:rPr>
        <w:tab/>
      </w:r>
      <w:r w:rsidR="004E34D6" w:rsidRPr="001D62A3">
        <w:rPr>
          <w:rFonts w:ascii="Arial" w:hAnsi="Arial" w:cs="Arial"/>
          <w:sz w:val="24"/>
          <w:szCs w:val="24"/>
        </w:rPr>
        <w:t>An error of law might be that the appeal tribunal has misinterpreted the law and wrongly applied the law to the facts of the individual case, or that the appeal tribunal has acted in a way which is procedurally unfair, or that the appeal tribunal has made a decision on all the evidence which no reasonable appeal tribunal could reach.</w:t>
      </w:r>
    </w:p>
    <w:p w14:paraId="6159F0F1" w14:textId="77777777" w:rsidR="002243C2" w:rsidRPr="001D62A3" w:rsidRDefault="002243C2" w:rsidP="00F2040F">
      <w:pPr>
        <w:pStyle w:val="ListParagraph"/>
        <w:tabs>
          <w:tab w:val="left" w:pos="510"/>
          <w:tab w:val="left" w:pos="1077"/>
          <w:tab w:val="left" w:pos="1797"/>
        </w:tabs>
        <w:spacing w:after="0" w:line="240" w:lineRule="auto"/>
        <w:ind w:left="510" w:hanging="510"/>
        <w:rPr>
          <w:rFonts w:ascii="Arial" w:hAnsi="Arial" w:cs="Arial"/>
          <w:sz w:val="24"/>
          <w:szCs w:val="24"/>
        </w:rPr>
      </w:pPr>
    </w:p>
    <w:p w14:paraId="527D3733" w14:textId="1EAF3AD4"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28.</w:t>
      </w:r>
      <w:r>
        <w:rPr>
          <w:rFonts w:ascii="Arial" w:hAnsi="Arial" w:cs="Arial"/>
          <w:sz w:val="24"/>
          <w:szCs w:val="24"/>
        </w:rPr>
        <w:tab/>
      </w:r>
      <w:r w:rsidR="00EC7DC4" w:rsidRPr="001D62A3">
        <w:rPr>
          <w:rFonts w:ascii="Arial" w:hAnsi="Arial" w:cs="Arial"/>
          <w:sz w:val="24"/>
          <w:szCs w:val="24"/>
        </w:rPr>
        <w:t xml:space="preserve">The applicant submits that the tribunal failed to make sufficient findings of fact. </w:t>
      </w:r>
      <w:r>
        <w:rPr>
          <w:rFonts w:ascii="Arial" w:hAnsi="Arial" w:cs="Arial"/>
          <w:sz w:val="24"/>
          <w:szCs w:val="24"/>
        </w:rPr>
        <w:t xml:space="preserve"> </w:t>
      </w:r>
      <w:r w:rsidR="00F811DA" w:rsidRPr="001D62A3">
        <w:rPr>
          <w:rFonts w:ascii="Arial" w:hAnsi="Arial" w:cs="Arial"/>
          <w:sz w:val="24"/>
          <w:szCs w:val="24"/>
        </w:rPr>
        <w:t>The tribunal has of course made very full findings of fact in its statement of reasons.</w:t>
      </w:r>
      <w:r>
        <w:rPr>
          <w:rFonts w:ascii="Arial" w:hAnsi="Arial" w:cs="Arial"/>
          <w:sz w:val="24"/>
          <w:szCs w:val="24"/>
        </w:rPr>
        <w:t xml:space="preserve"> </w:t>
      </w:r>
      <w:r w:rsidR="00F811DA" w:rsidRPr="001D62A3">
        <w:rPr>
          <w:rFonts w:ascii="Arial" w:hAnsi="Arial" w:cs="Arial"/>
          <w:sz w:val="24"/>
          <w:szCs w:val="24"/>
        </w:rPr>
        <w:t xml:space="preserve"> However, whereas the applicant challenges much of the tribunal’s assessment of the facts, I understand that</w:t>
      </w:r>
      <w:r w:rsidR="00B555FE" w:rsidRPr="001D62A3">
        <w:rPr>
          <w:rFonts w:ascii="Arial" w:hAnsi="Arial" w:cs="Arial"/>
          <w:sz w:val="24"/>
          <w:szCs w:val="24"/>
        </w:rPr>
        <w:t xml:space="preserve"> he is making a different argument by this submission. </w:t>
      </w:r>
      <w:r>
        <w:rPr>
          <w:rFonts w:ascii="Arial" w:hAnsi="Arial" w:cs="Arial"/>
          <w:sz w:val="24"/>
          <w:szCs w:val="24"/>
        </w:rPr>
        <w:t xml:space="preserve"> </w:t>
      </w:r>
      <w:r w:rsidR="00B555FE" w:rsidRPr="001D62A3">
        <w:rPr>
          <w:rFonts w:ascii="Arial" w:hAnsi="Arial" w:cs="Arial"/>
          <w:sz w:val="24"/>
          <w:szCs w:val="24"/>
        </w:rPr>
        <w:t xml:space="preserve">Rather than a reference to the evidence before the tribunal and its findings based on that evidence, </w:t>
      </w:r>
      <w:r w:rsidR="00F811DA" w:rsidRPr="001D62A3">
        <w:rPr>
          <w:rFonts w:ascii="Arial" w:hAnsi="Arial" w:cs="Arial"/>
          <w:sz w:val="24"/>
          <w:szCs w:val="24"/>
        </w:rPr>
        <w:t xml:space="preserve">this is a reference to </w:t>
      </w:r>
      <w:r w:rsidR="006A2759" w:rsidRPr="001D62A3">
        <w:rPr>
          <w:rFonts w:ascii="Arial" w:hAnsi="Arial" w:cs="Arial"/>
          <w:sz w:val="24"/>
          <w:szCs w:val="24"/>
        </w:rPr>
        <w:t>a new diagnosis</w:t>
      </w:r>
      <w:r w:rsidR="00B555FE" w:rsidRPr="001D62A3">
        <w:rPr>
          <w:rFonts w:ascii="Arial" w:hAnsi="Arial" w:cs="Arial"/>
          <w:sz w:val="24"/>
          <w:szCs w:val="24"/>
        </w:rPr>
        <w:t xml:space="preserve"> that has been received in the period after the tribunal hearing</w:t>
      </w:r>
      <w:r w:rsidR="006A2759" w:rsidRPr="001D62A3">
        <w:rPr>
          <w:rFonts w:ascii="Arial" w:hAnsi="Arial" w:cs="Arial"/>
          <w:sz w:val="24"/>
          <w:szCs w:val="24"/>
        </w:rPr>
        <w:t>.</w:t>
      </w:r>
    </w:p>
    <w:p w14:paraId="28BB7DB7" w14:textId="77777777" w:rsidR="002243C2" w:rsidRPr="001D62A3" w:rsidRDefault="002243C2" w:rsidP="00F2040F">
      <w:pPr>
        <w:pStyle w:val="ListParagraph"/>
        <w:tabs>
          <w:tab w:val="left" w:pos="510"/>
          <w:tab w:val="left" w:pos="1077"/>
          <w:tab w:val="left" w:pos="1797"/>
        </w:tabs>
        <w:spacing w:after="0" w:line="240" w:lineRule="auto"/>
        <w:ind w:left="510" w:hanging="510"/>
        <w:rPr>
          <w:rFonts w:ascii="Arial" w:hAnsi="Arial" w:cs="Arial"/>
          <w:sz w:val="24"/>
          <w:szCs w:val="24"/>
        </w:rPr>
      </w:pPr>
    </w:p>
    <w:p w14:paraId="3BD29552" w14:textId="1CE0754D"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29.</w:t>
      </w:r>
      <w:r>
        <w:rPr>
          <w:rFonts w:ascii="Arial" w:hAnsi="Arial" w:cs="Arial"/>
          <w:sz w:val="24"/>
          <w:szCs w:val="24"/>
        </w:rPr>
        <w:tab/>
      </w:r>
      <w:r w:rsidR="00B555FE" w:rsidRPr="001D62A3">
        <w:rPr>
          <w:rFonts w:ascii="Arial" w:hAnsi="Arial" w:cs="Arial"/>
          <w:sz w:val="24"/>
          <w:szCs w:val="24"/>
        </w:rPr>
        <w:t xml:space="preserve">In the course of post-hearing submissions, the applicant </w:t>
      </w:r>
      <w:r w:rsidR="006A2759" w:rsidRPr="001D62A3">
        <w:rPr>
          <w:rFonts w:ascii="Arial" w:hAnsi="Arial" w:cs="Arial"/>
          <w:sz w:val="24"/>
          <w:szCs w:val="24"/>
        </w:rPr>
        <w:t>has provided evidence</w:t>
      </w:r>
      <w:r w:rsidR="00B555FE" w:rsidRPr="001D62A3">
        <w:rPr>
          <w:rFonts w:ascii="Arial" w:hAnsi="Arial" w:cs="Arial"/>
          <w:sz w:val="24"/>
          <w:szCs w:val="24"/>
        </w:rPr>
        <w:t xml:space="preserve"> from his </w:t>
      </w:r>
      <w:r w:rsidR="0029032B" w:rsidRPr="001D62A3">
        <w:rPr>
          <w:rFonts w:ascii="Arial" w:hAnsi="Arial" w:cs="Arial"/>
          <w:sz w:val="24"/>
          <w:szCs w:val="24"/>
        </w:rPr>
        <w:t>GP</w:t>
      </w:r>
      <w:r w:rsidR="003E5602" w:rsidRPr="001D62A3">
        <w:rPr>
          <w:rFonts w:ascii="Arial" w:hAnsi="Arial" w:cs="Arial"/>
          <w:sz w:val="24"/>
          <w:szCs w:val="24"/>
        </w:rPr>
        <w:t xml:space="preserve"> dated 13 August 2024. </w:t>
      </w:r>
      <w:r>
        <w:rPr>
          <w:rFonts w:ascii="Arial" w:hAnsi="Arial" w:cs="Arial"/>
          <w:sz w:val="24"/>
          <w:szCs w:val="24"/>
        </w:rPr>
        <w:t xml:space="preserve"> </w:t>
      </w:r>
      <w:r w:rsidR="003E5602" w:rsidRPr="001D62A3">
        <w:rPr>
          <w:rFonts w:ascii="Arial" w:hAnsi="Arial" w:cs="Arial"/>
          <w:sz w:val="24"/>
          <w:szCs w:val="24"/>
        </w:rPr>
        <w:t>Whereas the tribunal considered</w:t>
      </w:r>
      <w:r w:rsidR="006A2759" w:rsidRPr="001D62A3">
        <w:rPr>
          <w:rFonts w:ascii="Arial" w:hAnsi="Arial" w:cs="Arial"/>
          <w:sz w:val="24"/>
          <w:szCs w:val="24"/>
        </w:rPr>
        <w:t xml:space="preserve"> that </w:t>
      </w:r>
      <w:r w:rsidR="00F811DA" w:rsidRPr="001D62A3">
        <w:rPr>
          <w:rFonts w:ascii="Arial" w:hAnsi="Arial" w:cs="Arial"/>
          <w:sz w:val="24"/>
          <w:szCs w:val="24"/>
        </w:rPr>
        <w:t>his symptoms were attribut</w:t>
      </w:r>
      <w:r w:rsidR="003E5602" w:rsidRPr="001D62A3">
        <w:rPr>
          <w:rFonts w:ascii="Arial" w:hAnsi="Arial" w:cs="Arial"/>
          <w:sz w:val="24"/>
          <w:szCs w:val="24"/>
        </w:rPr>
        <w:t>able</w:t>
      </w:r>
      <w:r w:rsidR="00F811DA" w:rsidRPr="001D62A3">
        <w:rPr>
          <w:rFonts w:ascii="Arial" w:hAnsi="Arial" w:cs="Arial"/>
          <w:sz w:val="24"/>
          <w:szCs w:val="24"/>
        </w:rPr>
        <w:t xml:space="preserve"> pernicious anaemia and hypothyroidism</w:t>
      </w:r>
      <w:r w:rsidR="003E5602" w:rsidRPr="001D62A3">
        <w:rPr>
          <w:rFonts w:ascii="Arial" w:hAnsi="Arial" w:cs="Arial"/>
          <w:sz w:val="24"/>
          <w:szCs w:val="24"/>
        </w:rPr>
        <w:t xml:space="preserve"> when considering how he was at the date of the decision in June 2022, his GP now diagnoses likely chronic fatigue syndrome</w:t>
      </w:r>
      <w:r w:rsidR="00F811DA" w:rsidRPr="001D62A3">
        <w:rPr>
          <w:rFonts w:ascii="Arial" w:hAnsi="Arial" w:cs="Arial"/>
          <w:sz w:val="24"/>
          <w:szCs w:val="24"/>
        </w:rPr>
        <w:t xml:space="preserve">. </w:t>
      </w:r>
      <w:r>
        <w:rPr>
          <w:rFonts w:ascii="Arial" w:hAnsi="Arial" w:cs="Arial"/>
          <w:sz w:val="24"/>
          <w:szCs w:val="24"/>
        </w:rPr>
        <w:t xml:space="preserve"> </w:t>
      </w:r>
      <w:r w:rsidR="003E5602" w:rsidRPr="001D62A3">
        <w:rPr>
          <w:rFonts w:ascii="Arial" w:hAnsi="Arial" w:cs="Arial"/>
          <w:sz w:val="24"/>
          <w:szCs w:val="24"/>
        </w:rPr>
        <w:t>The</w:t>
      </w:r>
      <w:r w:rsidR="00F811DA" w:rsidRPr="001D62A3">
        <w:rPr>
          <w:rFonts w:ascii="Arial" w:hAnsi="Arial" w:cs="Arial"/>
          <w:sz w:val="24"/>
          <w:szCs w:val="24"/>
        </w:rPr>
        <w:t xml:space="preserve"> </w:t>
      </w:r>
      <w:r w:rsidR="003E5602" w:rsidRPr="001D62A3">
        <w:rPr>
          <w:rFonts w:ascii="Arial" w:hAnsi="Arial" w:cs="Arial"/>
          <w:sz w:val="24"/>
          <w:szCs w:val="24"/>
        </w:rPr>
        <w:t xml:space="preserve">applicant </w:t>
      </w:r>
      <w:r w:rsidR="00F811DA" w:rsidRPr="001D62A3">
        <w:rPr>
          <w:rFonts w:ascii="Arial" w:hAnsi="Arial" w:cs="Arial"/>
          <w:sz w:val="24"/>
          <w:szCs w:val="24"/>
        </w:rPr>
        <w:t xml:space="preserve">submits </w:t>
      </w:r>
      <w:r w:rsidR="003E5602" w:rsidRPr="001D62A3">
        <w:rPr>
          <w:rFonts w:ascii="Arial" w:hAnsi="Arial" w:cs="Arial"/>
          <w:sz w:val="24"/>
          <w:szCs w:val="24"/>
        </w:rPr>
        <w:t xml:space="preserve">that this diagnosis was </w:t>
      </w:r>
      <w:r w:rsidR="00846BB1" w:rsidRPr="001D62A3">
        <w:rPr>
          <w:rFonts w:ascii="Arial" w:hAnsi="Arial" w:cs="Arial"/>
          <w:sz w:val="24"/>
          <w:szCs w:val="24"/>
        </w:rPr>
        <w:t xml:space="preserve">equally </w:t>
      </w:r>
      <w:r w:rsidR="003E5602" w:rsidRPr="001D62A3">
        <w:rPr>
          <w:rFonts w:ascii="Arial" w:hAnsi="Arial" w:cs="Arial"/>
          <w:sz w:val="24"/>
          <w:szCs w:val="24"/>
        </w:rPr>
        <w:t xml:space="preserve">applicable at the date of the decision under appeal and </w:t>
      </w:r>
      <w:r w:rsidR="00F811DA" w:rsidRPr="001D62A3">
        <w:rPr>
          <w:rFonts w:ascii="Arial" w:hAnsi="Arial" w:cs="Arial"/>
          <w:sz w:val="24"/>
          <w:szCs w:val="24"/>
        </w:rPr>
        <w:t xml:space="preserve">in turn that the tribunal’s assessment of </w:t>
      </w:r>
      <w:r w:rsidR="003E5602" w:rsidRPr="001D62A3">
        <w:rPr>
          <w:rFonts w:ascii="Arial" w:hAnsi="Arial" w:cs="Arial"/>
          <w:sz w:val="24"/>
          <w:szCs w:val="24"/>
        </w:rPr>
        <w:t>the</w:t>
      </w:r>
      <w:r w:rsidR="00F811DA" w:rsidRPr="001D62A3">
        <w:rPr>
          <w:rFonts w:ascii="Arial" w:hAnsi="Arial" w:cs="Arial"/>
          <w:sz w:val="24"/>
          <w:szCs w:val="24"/>
        </w:rPr>
        <w:t xml:space="preserve"> credibility </w:t>
      </w:r>
      <w:r w:rsidR="003E5602" w:rsidRPr="001D62A3">
        <w:rPr>
          <w:rFonts w:ascii="Arial" w:hAnsi="Arial" w:cs="Arial"/>
          <w:sz w:val="24"/>
          <w:szCs w:val="24"/>
        </w:rPr>
        <w:t xml:space="preserve">of his symptoms at that time </w:t>
      </w:r>
      <w:r w:rsidR="00F811DA" w:rsidRPr="001D62A3">
        <w:rPr>
          <w:rFonts w:ascii="Arial" w:hAnsi="Arial" w:cs="Arial"/>
          <w:sz w:val="24"/>
          <w:szCs w:val="24"/>
        </w:rPr>
        <w:t>was tainted by the incomplete earlier diagnos</w:t>
      </w:r>
      <w:r w:rsidR="003E5602" w:rsidRPr="001D62A3">
        <w:rPr>
          <w:rFonts w:ascii="Arial" w:hAnsi="Arial" w:cs="Arial"/>
          <w:sz w:val="24"/>
          <w:szCs w:val="24"/>
        </w:rPr>
        <w:t>i</w:t>
      </w:r>
      <w:r w:rsidR="00F811DA" w:rsidRPr="001D62A3">
        <w:rPr>
          <w:rFonts w:ascii="Arial" w:hAnsi="Arial" w:cs="Arial"/>
          <w:sz w:val="24"/>
          <w:szCs w:val="24"/>
        </w:rPr>
        <w:t>s.</w:t>
      </w:r>
    </w:p>
    <w:p w14:paraId="18B73B57" w14:textId="77777777" w:rsidR="002243C2" w:rsidRPr="001D62A3" w:rsidRDefault="002243C2" w:rsidP="00F2040F">
      <w:pPr>
        <w:pStyle w:val="ListParagraph"/>
        <w:tabs>
          <w:tab w:val="left" w:pos="510"/>
          <w:tab w:val="left" w:pos="1077"/>
          <w:tab w:val="left" w:pos="1797"/>
        </w:tabs>
        <w:spacing w:after="0" w:line="240" w:lineRule="auto"/>
        <w:ind w:left="510" w:hanging="510"/>
        <w:rPr>
          <w:rFonts w:ascii="Arial" w:hAnsi="Arial" w:cs="Arial"/>
          <w:sz w:val="24"/>
          <w:szCs w:val="24"/>
        </w:rPr>
      </w:pPr>
    </w:p>
    <w:p w14:paraId="486C3632" w14:textId="7638CB73" w:rsidR="002243C2"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30.</w:t>
      </w:r>
      <w:r>
        <w:rPr>
          <w:rFonts w:ascii="Arial" w:hAnsi="Arial" w:cs="Arial"/>
          <w:sz w:val="24"/>
          <w:szCs w:val="24"/>
        </w:rPr>
        <w:tab/>
      </w:r>
      <w:r w:rsidR="00AF6AE5" w:rsidRPr="001D62A3">
        <w:rPr>
          <w:rFonts w:ascii="Arial" w:hAnsi="Arial" w:cs="Arial"/>
          <w:sz w:val="24"/>
          <w:szCs w:val="24"/>
        </w:rPr>
        <w:t xml:space="preserve">The applicant is not a lawyer and these proceedings are inquisitorial rather than adversarial. </w:t>
      </w:r>
      <w:r>
        <w:rPr>
          <w:rFonts w:ascii="Arial" w:hAnsi="Arial" w:cs="Arial"/>
          <w:sz w:val="24"/>
          <w:szCs w:val="24"/>
        </w:rPr>
        <w:t xml:space="preserve"> </w:t>
      </w:r>
      <w:r w:rsidR="00AF6AE5" w:rsidRPr="001D62A3">
        <w:rPr>
          <w:rFonts w:ascii="Arial" w:hAnsi="Arial" w:cs="Arial"/>
          <w:sz w:val="24"/>
          <w:szCs w:val="24"/>
        </w:rPr>
        <w:t xml:space="preserve">In such cases, the Commissioner has an obligation to address obvious points that have not been raised by applicants in order to protect their interests and to ensure that the law is applied correctly. </w:t>
      </w:r>
      <w:r>
        <w:rPr>
          <w:rFonts w:ascii="Arial" w:hAnsi="Arial" w:cs="Arial"/>
          <w:sz w:val="24"/>
          <w:szCs w:val="24"/>
        </w:rPr>
        <w:t xml:space="preserve"> </w:t>
      </w:r>
      <w:r w:rsidR="00C56497" w:rsidRPr="001D62A3">
        <w:rPr>
          <w:rFonts w:ascii="Arial" w:hAnsi="Arial" w:cs="Arial"/>
          <w:sz w:val="24"/>
          <w:szCs w:val="24"/>
        </w:rPr>
        <w:t>I would characterise the applicant’s submission not as one challenging the sufficiency of the tribunal’s finding of facts, but rather a submission that the tribunal has made a mistake of fact amounting to an error of law.</w:t>
      </w:r>
    </w:p>
    <w:p w14:paraId="7A6801D7" w14:textId="77777777" w:rsidR="002243C2" w:rsidRPr="001D62A3" w:rsidRDefault="002243C2" w:rsidP="00F2040F">
      <w:pPr>
        <w:pStyle w:val="ListParagraph"/>
        <w:tabs>
          <w:tab w:val="left" w:pos="510"/>
          <w:tab w:val="left" w:pos="1077"/>
          <w:tab w:val="left" w:pos="1797"/>
        </w:tabs>
        <w:spacing w:after="0" w:line="240" w:lineRule="auto"/>
        <w:ind w:left="510" w:hanging="510"/>
        <w:rPr>
          <w:rFonts w:ascii="Arial" w:hAnsi="Arial" w:cs="Arial"/>
          <w:sz w:val="24"/>
          <w:szCs w:val="24"/>
        </w:rPr>
      </w:pPr>
    </w:p>
    <w:p w14:paraId="031B819B" w14:textId="4EDE3793" w:rsidR="00AF6AE5" w:rsidRPr="001D62A3" w:rsidRDefault="00F36E1C" w:rsidP="00F2040F">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31.</w:t>
      </w:r>
      <w:r>
        <w:rPr>
          <w:rFonts w:ascii="Arial" w:hAnsi="Arial" w:cs="Arial"/>
          <w:sz w:val="24"/>
          <w:szCs w:val="24"/>
        </w:rPr>
        <w:tab/>
      </w:r>
      <w:r w:rsidR="00C56497" w:rsidRPr="001D62A3">
        <w:rPr>
          <w:rFonts w:ascii="Arial" w:hAnsi="Arial" w:cs="Arial"/>
          <w:sz w:val="24"/>
          <w:szCs w:val="24"/>
        </w:rPr>
        <w:t xml:space="preserve">I addressed the relevant criteria for this in </w:t>
      </w:r>
      <w:r w:rsidR="00AF6AE5" w:rsidRPr="001D62A3">
        <w:rPr>
          <w:rFonts w:ascii="Arial" w:hAnsi="Arial" w:cs="Arial"/>
          <w:i/>
          <w:iCs/>
          <w:sz w:val="24"/>
          <w:szCs w:val="24"/>
        </w:rPr>
        <w:t>DC</w:t>
      </w:r>
      <w:r w:rsidR="00C56497" w:rsidRPr="001D62A3">
        <w:rPr>
          <w:rFonts w:ascii="Arial" w:hAnsi="Arial" w:cs="Arial"/>
          <w:i/>
          <w:iCs/>
          <w:sz w:val="24"/>
          <w:szCs w:val="24"/>
        </w:rPr>
        <w:t xml:space="preserve"> </w:t>
      </w:r>
      <w:r w:rsidR="00AF6AE5" w:rsidRPr="001D62A3">
        <w:rPr>
          <w:rFonts w:ascii="Arial" w:hAnsi="Arial" w:cs="Arial"/>
          <w:i/>
          <w:iCs/>
          <w:sz w:val="24"/>
          <w:szCs w:val="24"/>
        </w:rPr>
        <w:t>v</w:t>
      </w:r>
      <w:r w:rsidR="00C56497" w:rsidRPr="001D62A3">
        <w:rPr>
          <w:rFonts w:ascii="Arial" w:hAnsi="Arial" w:cs="Arial"/>
          <w:i/>
          <w:iCs/>
          <w:sz w:val="24"/>
          <w:szCs w:val="24"/>
        </w:rPr>
        <w:t xml:space="preserve"> </w:t>
      </w:r>
      <w:r w:rsidR="00AF6AE5" w:rsidRPr="001D62A3">
        <w:rPr>
          <w:rFonts w:ascii="Arial" w:hAnsi="Arial" w:cs="Arial"/>
          <w:i/>
          <w:iCs/>
          <w:sz w:val="24"/>
          <w:szCs w:val="24"/>
        </w:rPr>
        <w:t>Department for Social Development</w:t>
      </w:r>
      <w:r w:rsidR="00AF6AE5" w:rsidRPr="001D62A3">
        <w:rPr>
          <w:rFonts w:ascii="Arial" w:hAnsi="Arial" w:cs="Arial"/>
          <w:sz w:val="24"/>
          <w:szCs w:val="24"/>
        </w:rPr>
        <w:t xml:space="preserve"> [2014] NICom 49</w:t>
      </w:r>
      <w:r w:rsidR="00C56497" w:rsidRPr="001D62A3">
        <w:rPr>
          <w:rFonts w:ascii="Arial" w:hAnsi="Arial" w:cs="Arial"/>
          <w:sz w:val="24"/>
          <w:szCs w:val="24"/>
        </w:rPr>
        <w:t xml:space="preserve">. </w:t>
      </w:r>
      <w:r w:rsidR="0020500D">
        <w:rPr>
          <w:rFonts w:ascii="Arial" w:hAnsi="Arial" w:cs="Arial"/>
          <w:sz w:val="24"/>
          <w:szCs w:val="24"/>
        </w:rPr>
        <w:t xml:space="preserve"> </w:t>
      </w:r>
      <w:r w:rsidR="00C56497" w:rsidRPr="001D62A3">
        <w:rPr>
          <w:rFonts w:ascii="Arial" w:hAnsi="Arial" w:cs="Arial"/>
          <w:sz w:val="24"/>
          <w:szCs w:val="24"/>
        </w:rPr>
        <w:t>At paragraph 19, I said</w:t>
      </w:r>
      <w:r w:rsidR="007526A2" w:rsidRPr="001D62A3">
        <w:rPr>
          <w:rFonts w:ascii="Arial" w:hAnsi="Arial" w:cs="Arial"/>
          <w:sz w:val="24"/>
          <w:szCs w:val="24"/>
        </w:rPr>
        <w:t xml:space="preserve"> that t</w:t>
      </w:r>
      <w:r w:rsidR="00AF6AE5" w:rsidRPr="001D62A3">
        <w:rPr>
          <w:rFonts w:ascii="Arial" w:hAnsi="Arial" w:cs="Arial"/>
          <w:sz w:val="24"/>
          <w:szCs w:val="24"/>
        </w:rPr>
        <w:t>he role of the Social Security Commissioner is to determine whether or not a tribunal has made errors in law and not simply to rehear appeals on the basis of new evidence.</w:t>
      </w:r>
      <w:r w:rsidR="0020500D">
        <w:rPr>
          <w:rFonts w:ascii="Arial" w:hAnsi="Arial" w:cs="Arial"/>
          <w:sz w:val="24"/>
          <w:szCs w:val="24"/>
        </w:rPr>
        <w:t xml:space="preserve"> </w:t>
      </w:r>
      <w:r w:rsidR="00AF6AE5" w:rsidRPr="001D62A3">
        <w:rPr>
          <w:rFonts w:ascii="Arial" w:hAnsi="Arial" w:cs="Arial"/>
          <w:sz w:val="24"/>
          <w:szCs w:val="24"/>
        </w:rPr>
        <w:t xml:space="preserve"> However, </w:t>
      </w:r>
      <w:r w:rsidR="007526A2" w:rsidRPr="001D62A3">
        <w:rPr>
          <w:rFonts w:ascii="Arial" w:hAnsi="Arial" w:cs="Arial"/>
          <w:sz w:val="24"/>
          <w:szCs w:val="24"/>
        </w:rPr>
        <w:t xml:space="preserve">I observed that </w:t>
      </w:r>
      <w:r w:rsidR="00AF6AE5" w:rsidRPr="001D62A3">
        <w:rPr>
          <w:rFonts w:ascii="Arial" w:hAnsi="Arial" w:cs="Arial"/>
          <w:sz w:val="24"/>
          <w:szCs w:val="24"/>
        </w:rPr>
        <w:t xml:space="preserve">it is well established that mistakes of fact by tribunals can amount to errors of law. </w:t>
      </w:r>
      <w:r w:rsidR="0020500D">
        <w:rPr>
          <w:rFonts w:ascii="Arial" w:hAnsi="Arial" w:cs="Arial"/>
          <w:sz w:val="24"/>
          <w:szCs w:val="24"/>
        </w:rPr>
        <w:t xml:space="preserve"> </w:t>
      </w:r>
      <w:r w:rsidR="00AF6AE5" w:rsidRPr="001D62A3">
        <w:rPr>
          <w:rFonts w:ascii="Arial" w:hAnsi="Arial" w:cs="Arial"/>
          <w:sz w:val="24"/>
          <w:szCs w:val="24"/>
        </w:rPr>
        <w:t xml:space="preserve">The circumstances where mistakes of fact can amount to errors of law were set out in the judgement of Brooke LJ in </w:t>
      </w:r>
      <w:r w:rsidR="00AF6AE5" w:rsidRPr="001D62A3">
        <w:rPr>
          <w:rFonts w:ascii="Arial" w:hAnsi="Arial" w:cs="Arial"/>
          <w:i/>
          <w:sz w:val="24"/>
          <w:szCs w:val="24"/>
        </w:rPr>
        <w:t>R(Iran) v Secretary of State for the Home Department</w:t>
      </w:r>
      <w:r w:rsidR="00AF6AE5" w:rsidRPr="001D62A3">
        <w:rPr>
          <w:rFonts w:ascii="Arial" w:hAnsi="Arial" w:cs="Arial"/>
          <w:sz w:val="24"/>
          <w:szCs w:val="24"/>
        </w:rPr>
        <w:t xml:space="preserve"> [2005] EWCA Civ 982 at paragraphs 28-33</w:t>
      </w:r>
      <w:r w:rsidR="007526A2" w:rsidRPr="001D62A3">
        <w:rPr>
          <w:rFonts w:ascii="Arial" w:hAnsi="Arial" w:cs="Arial"/>
          <w:sz w:val="24"/>
          <w:szCs w:val="24"/>
        </w:rPr>
        <w:t>:</w:t>
      </w:r>
    </w:p>
    <w:p w14:paraId="5147CB62" w14:textId="77777777" w:rsidR="00C56497" w:rsidRPr="001D62A3" w:rsidRDefault="00C56497" w:rsidP="007B4E8E">
      <w:pPr>
        <w:tabs>
          <w:tab w:val="left" w:pos="510"/>
          <w:tab w:val="left" w:pos="1077"/>
          <w:tab w:val="left" w:pos="1797"/>
        </w:tabs>
        <w:spacing w:after="0" w:line="240" w:lineRule="auto"/>
        <w:rPr>
          <w:rFonts w:ascii="Arial" w:hAnsi="Arial" w:cs="Arial"/>
          <w:sz w:val="24"/>
          <w:szCs w:val="24"/>
        </w:rPr>
      </w:pPr>
    </w:p>
    <w:p w14:paraId="4A5251A9" w14:textId="022545A0" w:rsidR="00AF6AE5" w:rsidRPr="001D62A3" w:rsidRDefault="007526A2" w:rsidP="005743A4">
      <w:pPr>
        <w:tabs>
          <w:tab w:val="left" w:pos="510"/>
          <w:tab w:val="left" w:pos="1077"/>
          <w:tab w:val="left" w:pos="1797"/>
        </w:tabs>
        <w:spacing w:after="0" w:line="240" w:lineRule="auto"/>
        <w:ind w:left="1077" w:right="1077"/>
        <w:jc w:val="both"/>
        <w:rPr>
          <w:rFonts w:ascii="Arial" w:hAnsi="Arial" w:cs="Arial"/>
          <w:sz w:val="24"/>
          <w:szCs w:val="24"/>
        </w:rPr>
      </w:pPr>
      <w:bookmarkStart w:id="0" w:name="para28"/>
      <w:r w:rsidRPr="001D62A3">
        <w:rPr>
          <w:rFonts w:ascii="Arial" w:hAnsi="Arial" w:cs="Arial"/>
          <w:sz w:val="24"/>
          <w:szCs w:val="24"/>
        </w:rPr>
        <w:t>“</w:t>
      </w:r>
      <w:r w:rsidR="00AF6AE5" w:rsidRPr="001D62A3">
        <w:rPr>
          <w:rFonts w:ascii="Arial" w:hAnsi="Arial" w:cs="Arial"/>
          <w:sz w:val="24"/>
          <w:szCs w:val="24"/>
        </w:rPr>
        <w:t>28.</w:t>
      </w:r>
      <w:r w:rsidR="002243C2" w:rsidRPr="001D62A3">
        <w:rPr>
          <w:rFonts w:ascii="Arial" w:hAnsi="Arial" w:cs="Arial"/>
          <w:sz w:val="24"/>
          <w:szCs w:val="24"/>
        </w:rPr>
        <w:t xml:space="preserve"> </w:t>
      </w:r>
      <w:r w:rsidR="00E25615">
        <w:rPr>
          <w:rFonts w:ascii="Arial" w:hAnsi="Arial" w:cs="Arial"/>
          <w:sz w:val="24"/>
          <w:szCs w:val="24"/>
        </w:rPr>
        <w:t xml:space="preserve"> </w:t>
      </w:r>
      <w:r w:rsidR="00AF6AE5" w:rsidRPr="001D62A3">
        <w:rPr>
          <w:rFonts w:ascii="Arial" w:hAnsi="Arial" w:cs="Arial"/>
          <w:sz w:val="24"/>
          <w:szCs w:val="24"/>
        </w:rPr>
        <w:t>The next matter we must address relates to the circumstances in which an appellate body like the IAT, whose primary role during the relevant period was restricted to identifying and correcting errors of law, could entertain an argument to the effect that the outcome in the lower court was unfair as a result of a mistake of fact, and that this constituted an error of law which entitled it to interfere.</w:t>
      </w:r>
      <w:bookmarkEnd w:id="0"/>
    </w:p>
    <w:p w14:paraId="53138FD1"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p>
    <w:p w14:paraId="30813372" w14:textId="15FD1B45"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29.</w:t>
      </w:r>
      <w:r w:rsidR="002243C2" w:rsidRPr="001D62A3">
        <w:rPr>
          <w:rFonts w:ascii="Arial" w:hAnsi="Arial" w:cs="Arial"/>
          <w:sz w:val="24"/>
          <w:szCs w:val="24"/>
        </w:rPr>
        <w:t xml:space="preserve"> </w:t>
      </w:r>
      <w:bookmarkStart w:id="1" w:name="para29"/>
      <w:r w:rsidR="000668CE" w:rsidRPr="001D62A3">
        <w:rPr>
          <w:rFonts w:ascii="Arial" w:hAnsi="Arial" w:cs="Arial"/>
          <w:sz w:val="24"/>
          <w:szCs w:val="24"/>
        </w:rPr>
        <w:t xml:space="preserve"> </w:t>
      </w:r>
      <w:r w:rsidRPr="001D62A3">
        <w:rPr>
          <w:rFonts w:ascii="Arial" w:hAnsi="Arial" w:cs="Arial"/>
          <w:sz w:val="24"/>
          <w:szCs w:val="24"/>
        </w:rPr>
        <w:t>In</w:t>
      </w:r>
      <w:r w:rsidRPr="001D62A3">
        <w:rPr>
          <w:rFonts w:ascii="Arial" w:hAnsi="Arial" w:cs="Arial"/>
          <w:i/>
          <w:iCs/>
          <w:sz w:val="24"/>
          <w:szCs w:val="24"/>
        </w:rPr>
        <w:t xml:space="preserve"> E and R v Home Secretary</w:t>
      </w:r>
      <w:r w:rsidRPr="001D62A3">
        <w:rPr>
          <w:rFonts w:ascii="Arial" w:hAnsi="Arial" w:cs="Arial"/>
          <w:sz w:val="24"/>
          <w:szCs w:val="24"/>
        </w:rPr>
        <w:t xml:space="preserve"> </w:t>
      </w:r>
      <w:bookmarkEnd w:id="1"/>
      <w:r w:rsidRPr="001D62A3">
        <w:rPr>
          <w:rFonts w:ascii="Arial" w:hAnsi="Arial" w:cs="Arial"/>
          <w:sz w:val="24"/>
          <w:szCs w:val="24"/>
        </w:rPr>
        <w:fldChar w:fldCharType="begin"/>
      </w:r>
      <w:r w:rsidRPr="001D62A3">
        <w:rPr>
          <w:rFonts w:ascii="Arial" w:hAnsi="Arial" w:cs="Arial"/>
          <w:sz w:val="24"/>
          <w:szCs w:val="24"/>
        </w:rPr>
        <w:instrText xml:space="preserve"> HYPERLINK "http://www.bailii.org/ew/cases/EWCA/Civ/2004/49.html" \o "Link to BAILII version" </w:instrText>
      </w:r>
      <w:r w:rsidRPr="001D62A3">
        <w:rPr>
          <w:rFonts w:ascii="Arial" w:hAnsi="Arial" w:cs="Arial"/>
          <w:sz w:val="24"/>
          <w:szCs w:val="24"/>
        </w:rPr>
      </w:r>
      <w:r w:rsidRPr="001D62A3">
        <w:rPr>
          <w:rFonts w:ascii="Arial" w:hAnsi="Arial" w:cs="Arial"/>
          <w:sz w:val="24"/>
          <w:szCs w:val="24"/>
        </w:rPr>
        <w:fldChar w:fldCharType="separate"/>
      </w:r>
      <w:r w:rsidRPr="001D62A3">
        <w:rPr>
          <w:rStyle w:val="Hyperlink"/>
          <w:rFonts w:ascii="Arial" w:hAnsi="Arial" w:cs="Arial"/>
          <w:color w:val="auto"/>
          <w:sz w:val="24"/>
          <w:szCs w:val="24"/>
        </w:rPr>
        <w:t>[2004] EWCA Civ 49</w:t>
      </w:r>
      <w:r w:rsidRPr="001D62A3">
        <w:rPr>
          <w:rFonts w:ascii="Arial" w:hAnsi="Arial" w:cs="Arial"/>
          <w:sz w:val="24"/>
          <w:szCs w:val="24"/>
        </w:rPr>
        <w:fldChar w:fldCharType="end"/>
      </w:r>
      <w:r w:rsidRPr="001D62A3">
        <w:rPr>
          <w:rFonts w:ascii="Arial" w:hAnsi="Arial" w:cs="Arial"/>
          <w:sz w:val="24"/>
          <w:szCs w:val="24"/>
        </w:rPr>
        <w:t xml:space="preserve">; </w:t>
      </w:r>
      <w:hyperlink r:id="rId7" w:tooltip="Link to BAILII version" w:history="1">
        <w:r w:rsidRPr="001D62A3">
          <w:rPr>
            <w:rStyle w:val="Hyperlink"/>
            <w:rFonts w:ascii="Arial" w:hAnsi="Arial" w:cs="Arial"/>
            <w:color w:val="auto"/>
            <w:sz w:val="24"/>
            <w:szCs w:val="24"/>
          </w:rPr>
          <w:t>[2004] QB 1044</w:t>
        </w:r>
      </w:hyperlink>
      <w:r w:rsidRPr="001D62A3">
        <w:rPr>
          <w:rFonts w:ascii="Arial" w:hAnsi="Arial" w:cs="Arial"/>
          <w:sz w:val="24"/>
          <w:szCs w:val="24"/>
        </w:rPr>
        <w:t xml:space="preserve"> this court was concerned to provide a principled explanation of the reasons why a court whose jurisdiction is limited to the correction of errors of law is occasionally able to intervene, when fairness demands it, when a minister or an inferior body or tribunal has taken a decision on the basis of a foundation of fact which was demonstrably wrong. </w:t>
      </w:r>
      <w:r w:rsidR="00E25615">
        <w:rPr>
          <w:rFonts w:ascii="Arial" w:hAnsi="Arial" w:cs="Arial"/>
          <w:sz w:val="24"/>
          <w:szCs w:val="24"/>
        </w:rPr>
        <w:t xml:space="preserve"> </w:t>
      </w:r>
      <w:r w:rsidRPr="001D62A3">
        <w:rPr>
          <w:rFonts w:ascii="Arial" w:hAnsi="Arial" w:cs="Arial"/>
          <w:sz w:val="24"/>
          <w:szCs w:val="24"/>
        </w:rPr>
        <w:t>Carnwath LJ gave at least eight examples in his review of the case law</w:t>
      </w:r>
      <w:r w:rsidR="00C04DE7" w:rsidRPr="001D62A3">
        <w:rPr>
          <w:rFonts w:ascii="Arial" w:hAnsi="Arial" w:cs="Arial"/>
          <w:sz w:val="24"/>
          <w:szCs w:val="24"/>
        </w:rPr>
        <w:t xml:space="preserve"> …</w:t>
      </w:r>
    </w:p>
    <w:p w14:paraId="679F732E" w14:textId="77777777" w:rsidR="00C04DE7" w:rsidRPr="001D62A3" w:rsidRDefault="00C04DE7" w:rsidP="005743A4">
      <w:pPr>
        <w:tabs>
          <w:tab w:val="left" w:pos="510"/>
          <w:tab w:val="left" w:pos="1077"/>
          <w:tab w:val="left" w:pos="1797"/>
        </w:tabs>
        <w:spacing w:after="0" w:line="240" w:lineRule="auto"/>
        <w:ind w:left="1077" w:right="1077"/>
        <w:jc w:val="both"/>
        <w:rPr>
          <w:rFonts w:ascii="Arial" w:hAnsi="Arial" w:cs="Arial"/>
          <w:sz w:val="24"/>
          <w:szCs w:val="24"/>
        </w:rPr>
      </w:pPr>
    </w:p>
    <w:p w14:paraId="6B129296" w14:textId="3A4AB80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30.</w:t>
      </w:r>
      <w:bookmarkStart w:id="2" w:name="para30"/>
      <w:r w:rsidR="002243C2" w:rsidRPr="001D62A3">
        <w:rPr>
          <w:rFonts w:ascii="Arial" w:hAnsi="Arial" w:cs="Arial"/>
          <w:sz w:val="24"/>
          <w:szCs w:val="24"/>
        </w:rPr>
        <w:t xml:space="preserve"> </w:t>
      </w:r>
      <w:r w:rsidR="000668CE" w:rsidRPr="001D62A3">
        <w:rPr>
          <w:rFonts w:ascii="Arial" w:hAnsi="Arial" w:cs="Arial"/>
          <w:sz w:val="24"/>
          <w:szCs w:val="24"/>
        </w:rPr>
        <w:t xml:space="preserve"> </w:t>
      </w:r>
      <w:r w:rsidRPr="001D62A3">
        <w:rPr>
          <w:rFonts w:ascii="Arial" w:hAnsi="Arial" w:cs="Arial"/>
          <w:sz w:val="24"/>
          <w:szCs w:val="24"/>
        </w:rPr>
        <w:t xml:space="preserve">At para 64 Carnwath LJ said that there was a common feature of all these cases, even where the procedure was adversarial, in that the Secretary of State or the particular statutory authority had a shared interest with both the particular appellant and with any tribunal or other decision-maker that might be involved in the case in ensuring that decisions were taken on the best information and on the correct factual basis. </w:t>
      </w:r>
      <w:r w:rsidR="00E25615">
        <w:rPr>
          <w:rFonts w:ascii="Arial" w:hAnsi="Arial" w:cs="Arial"/>
          <w:sz w:val="24"/>
          <w:szCs w:val="24"/>
        </w:rPr>
        <w:t xml:space="preserve"> </w:t>
      </w:r>
      <w:r w:rsidRPr="001D62A3">
        <w:rPr>
          <w:rFonts w:ascii="Arial" w:hAnsi="Arial" w:cs="Arial"/>
          <w:sz w:val="24"/>
          <w:szCs w:val="24"/>
        </w:rPr>
        <w:t xml:space="preserve">At para 66 he identified asylum law as representing a statutory context in which the parties shared an interest in co-operating to achieve a correct result. </w:t>
      </w:r>
      <w:r w:rsidR="00394851">
        <w:rPr>
          <w:rFonts w:ascii="Arial" w:hAnsi="Arial" w:cs="Arial"/>
          <w:sz w:val="24"/>
          <w:szCs w:val="24"/>
        </w:rPr>
        <w:t xml:space="preserve"> </w:t>
      </w:r>
      <w:r w:rsidRPr="001D62A3">
        <w:rPr>
          <w:rFonts w:ascii="Arial" w:hAnsi="Arial" w:cs="Arial"/>
          <w:sz w:val="24"/>
          <w:szCs w:val="24"/>
        </w:rPr>
        <w:t>He went on to suggest that the ordinary requirements for a finding of unfairness which amounted to an error of law were that:</w:t>
      </w:r>
      <w:bookmarkEnd w:id="2"/>
    </w:p>
    <w:p w14:paraId="428E6D64" w14:textId="77777777" w:rsidR="00C04DE7" w:rsidRPr="001D62A3" w:rsidRDefault="00C04DE7" w:rsidP="005743A4">
      <w:pPr>
        <w:tabs>
          <w:tab w:val="left" w:pos="510"/>
          <w:tab w:val="left" w:pos="1077"/>
          <w:tab w:val="left" w:pos="1797"/>
        </w:tabs>
        <w:spacing w:after="0" w:line="240" w:lineRule="auto"/>
        <w:ind w:left="1077" w:right="1077"/>
        <w:rPr>
          <w:rFonts w:ascii="Arial" w:hAnsi="Arial" w:cs="Arial"/>
          <w:sz w:val="24"/>
          <w:szCs w:val="24"/>
        </w:rPr>
      </w:pPr>
    </w:p>
    <w:p w14:paraId="6D077A8E"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(i) there must have been a mistake as to an existing fact, including a mistake as to the availability of evidence on a particular matter;</w:t>
      </w:r>
    </w:p>
    <w:p w14:paraId="52F582A2" w14:textId="77777777" w:rsidR="00C04DE7" w:rsidRPr="001D62A3" w:rsidRDefault="00C04DE7" w:rsidP="005743A4">
      <w:pPr>
        <w:tabs>
          <w:tab w:val="left" w:pos="510"/>
          <w:tab w:val="left" w:pos="1077"/>
          <w:tab w:val="left" w:pos="1797"/>
        </w:tabs>
        <w:spacing w:after="0" w:line="240" w:lineRule="auto"/>
        <w:ind w:left="1077" w:right="1077"/>
        <w:rPr>
          <w:rFonts w:ascii="Arial" w:hAnsi="Arial" w:cs="Arial"/>
          <w:sz w:val="24"/>
          <w:szCs w:val="24"/>
        </w:rPr>
      </w:pPr>
    </w:p>
    <w:p w14:paraId="2FA1742B"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(ii) it must be possible to categorise the relevant fact or evidence as "established" in the sense that it was uncontentious and objectively verifiable;</w:t>
      </w:r>
    </w:p>
    <w:p w14:paraId="5FF25E00" w14:textId="77777777" w:rsidR="00C04DE7" w:rsidRPr="001D62A3" w:rsidRDefault="00C04DE7" w:rsidP="005743A4">
      <w:pPr>
        <w:tabs>
          <w:tab w:val="left" w:pos="510"/>
          <w:tab w:val="left" w:pos="1077"/>
          <w:tab w:val="left" w:pos="1797"/>
        </w:tabs>
        <w:spacing w:after="0" w:line="240" w:lineRule="auto"/>
        <w:ind w:left="1077" w:right="1077"/>
        <w:rPr>
          <w:rFonts w:ascii="Arial" w:hAnsi="Arial" w:cs="Arial"/>
          <w:sz w:val="24"/>
          <w:szCs w:val="24"/>
        </w:rPr>
      </w:pPr>
    </w:p>
    <w:p w14:paraId="700D11AB"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(iii) the appellant (or his advisers) must not have been responsible for the mistake;</w:t>
      </w:r>
    </w:p>
    <w:p w14:paraId="406BCE00" w14:textId="77777777" w:rsidR="00C04DE7" w:rsidRPr="001D62A3" w:rsidRDefault="00C04DE7" w:rsidP="005743A4">
      <w:pPr>
        <w:tabs>
          <w:tab w:val="left" w:pos="510"/>
          <w:tab w:val="left" w:pos="1077"/>
          <w:tab w:val="left" w:pos="1797"/>
        </w:tabs>
        <w:spacing w:after="0" w:line="240" w:lineRule="auto"/>
        <w:ind w:left="1077" w:right="1077"/>
        <w:jc w:val="both"/>
        <w:rPr>
          <w:rFonts w:ascii="Arial" w:hAnsi="Arial" w:cs="Arial"/>
          <w:sz w:val="24"/>
          <w:szCs w:val="24"/>
        </w:rPr>
      </w:pPr>
    </w:p>
    <w:p w14:paraId="02CA99AA"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(iv) the mistake must have played a material (not necessarily decisive) part in the tribunal's reasoning.</w:t>
      </w:r>
    </w:p>
    <w:p w14:paraId="3175C30F" w14:textId="77777777" w:rsidR="00C04DE7" w:rsidRPr="001D62A3" w:rsidRDefault="00C04DE7" w:rsidP="005743A4">
      <w:pPr>
        <w:pStyle w:val="NormalWeb"/>
        <w:tabs>
          <w:tab w:val="left" w:pos="510"/>
          <w:tab w:val="left" w:pos="1077"/>
          <w:tab w:val="left" w:pos="1797"/>
        </w:tabs>
        <w:spacing w:before="0" w:beforeAutospacing="0" w:after="0" w:afterAutospacing="0"/>
        <w:ind w:left="1077" w:right="1077"/>
        <w:jc w:val="both"/>
        <w:rPr>
          <w:rFonts w:ascii="Arial" w:hAnsi="Arial" w:cs="Arial"/>
        </w:rPr>
      </w:pPr>
    </w:p>
    <w:p w14:paraId="0DC8E80D" w14:textId="77777777" w:rsidR="00AF6AE5" w:rsidRPr="001D62A3" w:rsidRDefault="00AF6AE5" w:rsidP="005743A4">
      <w:pPr>
        <w:pStyle w:val="NormalWeb"/>
        <w:tabs>
          <w:tab w:val="left" w:pos="510"/>
          <w:tab w:val="left" w:pos="1077"/>
          <w:tab w:val="left" w:pos="1797"/>
        </w:tabs>
        <w:spacing w:before="0" w:beforeAutospacing="0" w:after="0" w:afterAutospacing="0"/>
        <w:ind w:left="1077" w:right="1077"/>
        <w:jc w:val="both"/>
        <w:rPr>
          <w:rFonts w:ascii="Arial" w:hAnsi="Arial" w:cs="Arial"/>
        </w:rPr>
      </w:pPr>
      <w:r w:rsidRPr="001D62A3">
        <w:rPr>
          <w:rFonts w:ascii="Arial" w:hAnsi="Arial" w:cs="Arial"/>
        </w:rPr>
        <w:t>He made it clear that he was not seeking to lay down a precise code.</w:t>
      </w:r>
    </w:p>
    <w:p w14:paraId="6F7AFDC8" w14:textId="77777777" w:rsidR="00C04DE7" w:rsidRPr="001D62A3" w:rsidRDefault="00C04DE7" w:rsidP="005743A4">
      <w:pPr>
        <w:pStyle w:val="NormalWeb"/>
        <w:tabs>
          <w:tab w:val="left" w:pos="510"/>
          <w:tab w:val="left" w:pos="1077"/>
          <w:tab w:val="left" w:pos="1797"/>
        </w:tabs>
        <w:spacing w:before="0" w:beforeAutospacing="0" w:after="0" w:afterAutospacing="0"/>
        <w:ind w:left="1077" w:right="1077"/>
        <w:rPr>
          <w:rFonts w:ascii="Arial" w:hAnsi="Arial" w:cs="Arial"/>
        </w:rPr>
      </w:pPr>
    </w:p>
    <w:p w14:paraId="5C66D14C" w14:textId="2457DF90" w:rsidR="00AF6AE5" w:rsidRPr="001D62A3" w:rsidRDefault="00AF6AE5" w:rsidP="005743A4">
      <w:pPr>
        <w:pStyle w:val="NormalWeb"/>
        <w:tabs>
          <w:tab w:val="left" w:pos="510"/>
          <w:tab w:val="left" w:pos="1077"/>
          <w:tab w:val="left" w:pos="1797"/>
        </w:tabs>
        <w:spacing w:before="0" w:beforeAutospacing="0" w:after="0" w:afterAutospacing="0"/>
        <w:ind w:left="1077" w:right="1077"/>
        <w:jc w:val="both"/>
        <w:rPr>
          <w:rFonts w:ascii="Arial" w:hAnsi="Arial" w:cs="Arial"/>
        </w:rPr>
      </w:pPr>
      <w:r w:rsidRPr="001D62A3">
        <w:rPr>
          <w:rFonts w:ascii="Arial" w:hAnsi="Arial" w:cs="Arial"/>
        </w:rPr>
        <w:t>31.</w:t>
      </w:r>
      <w:bookmarkStart w:id="3" w:name="para31"/>
      <w:r w:rsidR="000668CE" w:rsidRPr="001D62A3">
        <w:rPr>
          <w:rFonts w:ascii="Arial" w:hAnsi="Arial" w:cs="Arial"/>
        </w:rPr>
        <w:t xml:space="preserve"> </w:t>
      </w:r>
      <w:r w:rsidRPr="001D62A3">
        <w:rPr>
          <w:rFonts w:ascii="Arial" w:hAnsi="Arial" w:cs="Arial"/>
        </w:rPr>
        <w:t xml:space="preserve">Needless to say, such a mistake could not be identified by the supervising or appellate court unless it was willing to admit new evidence in order to identify it. </w:t>
      </w:r>
      <w:r w:rsidR="00394851">
        <w:rPr>
          <w:rFonts w:ascii="Arial" w:hAnsi="Arial" w:cs="Arial"/>
        </w:rPr>
        <w:t xml:space="preserve"> </w:t>
      </w:r>
      <w:r w:rsidRPr="001D62A3">
        <w:rPr>
          <w:rFonts w:ascii="Arial" w:hAnsi="Arial" w:cs="Arial"/>
        </w:rPr>
        <w:t xml:space="preserve">Paragraphs 68 to 89 of the judgment in </w:t>
      </w:r>
      <w:r w:rsidRPr="001D62A3">
        <w:rPr>
          <w:rFonts w:ascii="Arial" w:hAnsi="Arial" w:cs="Arial"/>
          <w:i/>
          <w:iCs/>
        </w:rPr>
        <w:t>E and R</w:t>
      </w:r>
      <w:r w:rsidRPr="001D62A3">
        <w:rPr>
          <w:rFonts w:ascii="Arial" w:hAnsi="Arial" w:cs="Arial"/>
        </w:rPr>
        <w:t xml:space="preserve"> contain an analysis of relevant case law on the power to admit new evidence.</w:t>
      </w:r>
      <w:r w:rsidR="00394851">
        <w:rPr>
          <w:rFonts w:ascii="Arial" w:hAnsi="Arial" w:cs="Arial"/>
        </w:rPr>
        <w:t xml:space="preserve"> </w:t>
      </w:r>
      <w:r w:rsidRPr="001D62A3">
        <w:rPr>
          <w:rFonts w:ascii="Arial" w:hAnsi="Arial" w:cs="Arial"/>
        </w:rPr>
        <w:t xml:space="preserve"> It concluded with the observation that the case of </w:t>
      </w:r>
      <w:r w:rsidRPr="001D62A3">
        <w:rPr>
          <w:rFonts w:ascii="Arial" w:hAnsi="Arial" w:cs="Arial"/>
          <w:i/>
          <w:iCs/>
        </w:rPr>
        <w:t xml:space="preserve">Khan v SSHD </w:t>
      </w:r>
      <w:bookmarkEnd w:id="3"/>
      <w:r w:rsidRPr="001D62A3">
        <w:rPr>
          <w:rFonts w:ascii="Arial" w:hAnsi="Arial" w:cs="Arial"/>
        </w:rPr>
        <w:fldChar w:fldCharType="begin"/>
      </w:r>
      <w:r w:rsidRPr="001D62A3">
        <w:rPr>
          <w:rFonts w:ascii="Arial" w:hAnsi="Arial" w:cs="Arial"/>
        </w:rPr>
        <w:instrText xml:space="preserve"> HYPERLINK "http://www.bailii.org/ew/cases/EWCA/Civ/2003/530.html" \o "Link to BAILII version" </w:instrText>
      </w:r>
      <w:r w:rsidRPr="001D62A3">
        <w:rPr>
          <w:rFonts w:ascii="Arial" w:hAnsi="Arial" w:cs="Arial"/>
        </w:rPr>
      </w:r>
      <w:r w:rsidRPr="001D62A3">
        <w:rPr>
          <w:rFonts w:ascii="Arial" w:hAnsi="Arial" w:cs="Arial"/>
        </w:rPr>
        <w:fldChar w:fldCharType="separate"/>
      </w:r>
      <w:r w:rsidRPr="001D62A3">
        <w:rPr>
          <w:rStyle w:val="Hyperlink"/>
          <w:rFonts w:ascii="Arial" w:hAnsi="Arial" w:cs="Arial"/>
          <w:color w:val="auto"/>
          <w:u w:val="none"/>
        </w:rPr>
        <w:t>[2003] EWCA Civ 530</w:t>
      </w:r>
      <w:r w:rsidRPr="001D62A3">
        <w:rPr>
          <w:rFonts w:ascii="Arial" w:hAnsi="Arial" w:cs="Arial"/>
        </w:rPr>
        <w:fldChar w:fldCharType="end"/>
      </w:r>
      <w:r w:rsidRPr="001D62A3">
        <w:rPr>
          <w:rFonts w:ascii="Arial" w:hAnsi="Arial" w:cs="Arial"/>
        </w:rPr>
        <w:t xml:space="preserve"> that gave rise to the problem summarised in (viii) above was a good example of the need for a residual ground of review for unfairness arising from a simple mistake of fact and that it illustrated the intrinsic difficulty in many asylum cases of obtaining reliable evidence of the facts that gave rise to the fear of persecution and the need for some flexibility in the application of </w:t>
      </w:r>
      <w:r w:rsidRPr="001D62A3">
        <w:rPr>
          <w:rFonts w:ascii="Arial" w:hAnsi="Arial" w:cs="Arial"/>
          <w:i/>
          <w:iCs/>
        </w:rPr>
        <w:t>Ladd v Marshall</w:t>
      </w:r>
      <w:r w:rsidRPr="001D62A3">
        <w:rPr>
          <w:rFonts w:ascii="Arial" w:hAnsi="Arial" w:cs="Arial"/>
        </w:rPr>
        <w:t xml:space="preserve"> principles.</w:t>
      </w:r>
    </w:p>
    <w:p w14:paraId="6F784352" w14:textId="77777777" w:rsidR="00C04DE7" w:rsidRPr="001D62A3" w:rsidRDefault="00C04DE7" w:rsidP="005743A4">
      <w:pPr>
        <w:pStyle w:val="NormalWeb"/>
        <w:tabs>
          <w:tab w:val="left" w:pos="510"/>
          <w:tab w:val="left" w:pos="1077"/>
          <w:tab w:val="left" w:pos="1797"/>
        </w:tabs>
        <w:spacing w:before="0" w:beforeAutospacing="0" w:after="0" w:afterAutospacing="0"/>
        <w:ind w:left="1077" w:right="1077"/>
        <w:rPr>
          <w:rFonts w:ascii="Arial" w:hAnsi="Arial" w:cs="Arial"/>
        </w:rPr>
      </w:pPr>
    </w:p>
    <w:p w14:paraId="73BBA483" w14:textId="2B840851" w:rsidR="00AF6AE5" w:rsidRPr="001D62A3" w:rsidRDefault="00AF6AE5" w:rsidP="005743A4">
      <w:pPr>
        <w:pStyle w:val="NormalWeb"/>
        <w:tabs>
          <w:tab w:val="left" w:pos="510"/>
          <w:tab w:val="left" w:pos="1077"/>
          <w:tab w:val="left" w:pos="1797"/>
        </w:tabs>
        <w:spacing w:before="0" w:beforeAutospacing="0" w:after="0" w:afterAutospacing="0"/>
        <w:ind w:left="1077" w:right="1077"/>
        <w:jc w:val="both"/>
        <w:rPr>
          <w:rFonts w:ascii="Arial" w:hAnsi="Arial" w:cs="Arial"/>
        </w:rPr>
      </w:pPr>
      <w:r w:rsidRPr="001D62A3">
        <w:rPr>
          <w:rFonts w:ascii="Arial" w:hAnsi="Arial" w:cs="Arial"/>
        </w:rPr>
        <w:t>32.</w:t>
      </w:r>
      <w:bookmarkStart w:id="4" w:name="para32"/>
      <w:r w:rsidR="005D3129">
        <w:rPr>
          <w:rFonts w:ascii="Arial" w:hAnsi="Arial" w:cs="Arial"/>
        </w:rPr>
        <w:t xml:space="preserve"> </w:t>
      </w:r>
      <w:r w:rsidR="000668CE" w:rsidRPr="001D62A3">
        <w:rPr>
          <w:rFonts w:ascii="Arial" w:hAnsi="Arial" w:cs="Arial"/>
        </w:rPr>
        <w:t xml:space="preserve"> </w:t>
      </w:r>
      <w:r w:rsidRPr="001D62A3">
        <w:rPr>
          <w:rFonts w:ascii="Arial" w:hAnsi="Arial" w:cs="Arial"/>
        </w:rPr>
        <w:t xml:space="preserve">The reference to the </w:t>
      </w:r>
      <w:r w:rsidRPr="001D62A3">
        <w:rPr>
          <w:rFonts w:ascii="Arial" w:hAnsi="Arial" w:cs="Arial"/>
          <w:i/>
          <w:iCs/>
        </w:rPr>
        <w:t>Ladd v Marshall</w:t>
      </w:r>
      <w:r w:rsidRPr="001D62A3">
        <w:rPr>
          <w:rFonts w:ascii="Arial" w:hAnsi="Arial" w:cs="Arial"/>
        </w:rPr>
        <w:t xml:space="preserve"> principles is a reference to that part of the judgment of Denning LJ in </w:t>
      </w:r>
      <w:r w:rsidRPr="001D62A3">
        <w:rPr>
          <w:rFonts w:ascii="Arial" w:hAnsi="Arial" w:cs="Arial"/>
          <w:i/>
          <w:iCs/>
        </w:rPr>
        <w:t xml:space="preserve">Ladd v Marshall </w:t>
      </w:r>
      <w:bookmarkEnd w:id="4"/>
      <w:r w:rsidRPr="001D62A3">
        <w:rPr>
          <w:rFonts w:ascii="Arial" w:hAnsi="Arial" w:cs="Arial"/>
        </w:rPr>
        <w:fldChar w:fldCharType="begin"/>
      </w:r>
      <w:r w:rsidRPr="001D62A3">
        <w:rPr>
          <w:rFonts w:ascii="Arial" w:hAnsi="Arial" w:cs="Arial"/>
        </w:rPr>
        <w:instrText xml:space="preserve"> HYPERLINK "http://www.bailii.org/cgi-bin/redirect.cgi?path=/ew/cases/EWCA/Civ/1954/1.html" \o "Link to BAILII version" </w:instrText>
      </w:r>
      <w:r w:rsidRPr="001D62A3">
        <w:rPr>
          <w:rFonts w:ascii="Arial" w:hAnsi="Arial" w:cs="Arial"/>
        </w:rPr>
      </w:r>
      <w:r w:rsidRPr="001D62A3">
        <w:rPr>
          <w:rFonts w:ascii="Arial" w:hAnsi="Arial" w:cs="Arial"/>
        </w:rPr>
        <w:fldChar w:fldCharType="separate"/>
      </w:r>
      <w:r w:rsidRPr="001D62A3">
        <w:rPr>
          <w:rStyle w:val="Hyperlink"/>
          <w:rFonts w:ascii="Arial" w:hAnsi="Arial" w:cs="Arial"/>
          <w:color w:val="auto"/>
          <w:u w:val="none"/>
        </w:rPr>
        <w:t>[1954] 1 WLR 1489</w:t>
      </w:r>
      <w:r w:rsidRPr="001D62A3">
        <w:rPr>
          <w:rFonts w:ascii="Arial" w:hAnsi="Arial" w:cs="Arial"/>
        </w:rPr>
        <w:fldChar w:fldCharType="end"/>
      </w:r>
      <w:r w:rsidRPr="001D62A3">
        <w:rPr>
          <w:rFonts w:ascii="Arial" w:hAnsi="Arial" w:cs="Arial"/>
        </w:rPr>
        <w:t xml:space="preserve"> when he said at p 1491 that where there had been a trial or hearing on the merits, the decision of the judge could only be overturned by the use of further evidence if it could be shown that:</w:t>
      </w:r>
    </w:p>
    <w:p w14:paraId="00A31C05" w14:textId="77777777" w:rsidR="0029032B" w:rsidRPr="001D62A3" w:rsidRDefault="0029032B" w:rsidP="005743A4">
      <w:pPr>
        <w:pStyle w:val="NormalWeb"/>
        <w:tabs>
          <w:tab w:val="left" w:pos="510"/>
          <w:tab w:val="left" w:pos="1077"/>
          <w:tab w:val="left" w:pos="1797"/>
        </w:tabs>
        <w:spacing w:before="0" w:beforeAutospacing="0" w:after="0" w:afterAutospacing="0"/>
        <w:ind w:left="1077" w:right="1077"/>
        <w:jc w:val="both"/>
        <w:rPr>
          <w:rFonts w:ascii="Arial" w:hAnsi="Arial" w:cs="Arial"/>
        </w:rPr>
      </w:pPr>
    </w:p>
    <w:p w14:paraId="0C76AAFC"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(1) the new evidence could not with reasonable diligence have been obtained for use at the trial (or hearing);</w:t>
      </w:r>
    </w:p>
    <w:p w14:paraId="3F8A3DBF" w14:textId="77777777" w:rsidR="00C04DE7" w:rsidRPr="001D62A3" w:rsidRDefault="00C04DE7" w:rsidP="005743A4">
      <w:pPr>
        <w:tabs>
          <w:tab w:val="left" w:pos="510"/>
          <w:tab w:val="left" w:pos="1077"/>
          <w:tab w:val="left" w:pos="1797"/>
        </w:tabs>
        <w:spacing w:after="0" w:line="240" w:lineRule="auto"/>
        <w:ind w:left="1077" w:right="1077"/>
        <w:jc w:val="both"/>
        <w:rPr>
          <w:rFonts w:ascii="Arial" w:hAnsi="Arial" w:cs="Arial"/>
          <w:sz w:val="24"/>
          <w:szCs w:val="24"/>
        </w:rPr>
      </w:pPr>
    </w:p>
    <w:p w14:paraId="356F9035"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(2) the new evidence must be such that, if given, it would probably have had an important influence on the result of the case (though it need not be decisive);</w:t>
      </w:r>
    </w:p>
    <w:p w14:paraId="13FC0BE3" w14:textId="77777777" w:rsidR="00C04DE7" w:rsidRPr="001D62A3" w:rsidRDefault="00C04DE7" w:rsidP="005743A4">
      <w:pPr>
        <w:tabs>
          <w:tab w:val="left" w:pos="510"/>
          <w:tab w:val="left" w:pos="1077"/>
          <w:tab w:val="left" w:pos="1797"/>
        </w:tabs>
        <w:spacing w:after="0" w:line="240" w:lineRule="auto"/>
        <w:ind w:left="1077" w:right="1077"/>
        <w:jc w:val="both"/>
        <w:rPr>
          <w:rFonts w:ascii="Arial" w:hAnsi="Arial" w:cs="Arial"/>
          <w:sz w:val="24"/>
          <w:szCs w:val="24"/>
        </w:rPr>
      </w:pPr>
    </w:p>
    <w:p w14:paraId="4760B3A5" w14:textId="77777777"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t>(3) the new evidence was apparently credible although it need not be incontrovertible.</w:t>
      </w:r>
    </w:p>
    <w:p w14:paraId="63D892E9" w14:textId="77777777" w:rsidR="00C04DE7" w:rsidRPr="001D62A3" w:rsidRDefault="00C04DE7" w:rsidP="005743A4">
      <w:pPr>
        <w:tabs>
          <w:tab w:val="left" w:pos="510"/>
          <w:tab w:val="left" w:pos="1077"/>
          <w:tab w:val="left" w:pos="1797"/>
        </w:tabs>
        <w:spacing w:after="0" w:line="240" w:lineRule="auto"/>
        <w:ind w:left="1077" w:right="1077"/>
        <w:rPr>
          <w:rFonts w:ascii="Arial" w:hAnsi="Arial" w:cs="Arial"/>
          <w:sz w:val="24"/>
          <w:szCs w:val="24"/>
        </w:rPr>
      </w:pPr>
    </w:p>
    <w:p w14:paraId="0688E9E9" w14:textId="033FCDE4" w:rsidR="00AF6AE5" w:rsidRPr="001D62A3" w:rsidRDefault="00AF6AE5" w:rsidP="005743A4">
      <w:pPr>
        <w:tabs>
          <w:tab w:val="left" w:pos="510"/>
          <w:tab w:val="left" w:pos="1077"/>
          <w:tab w:val="left" w:pos="1797"/>
        </w:tabs>
        <w:spacing w:after="0" w:line="240" w:lineRule="auto"/>
        <w:ind w:left="1077" w:right="1077"/>
        <w:jc w:val="both"/>
        <w:rPr>
          <w:rFonts w:ascii="Arial" w:hAnsi="Arial" w:cs="Arial"/>
          <w:sz w:val="24"/>
          <w:szCs w:val="24"/>
        </w:rPr>
      </w:pPr>
      <w:r w:rsidRPr="001D62A3">
        <w:rPr>
          <w:rFonts w:ascii="Arial" w:hAnsi="Arial" w:cs="Arial"/>
          <w:sz w:val="24"/>
          <w:szCs w:val="24"/>
        </w:rPr>
        <w:lastRenderedPageBreak/>
        <w:t>33.</w:t>
      </w:r>
      <w:bookmarkStart w:id="5" w:name="para33"/>
      <w:r w:rsidR="000668CE" w:rsidRPr="001D62A3">
        <w:rPr>
          <w:rFonts w:ascii="Arial" w:hAnsi="Arial" w:cs="Arial"/>
          <w:sz w:val="24"/>
          <w:szCs w:val="24"/>
        </w:rPr>
        <w:t xml:space="preserve">  B</w:t>
      </w:r>
      <w:r w:rsidRPr="001D62A3">
        <w:rPr>
          <w:rFonts w:ascii="Arial" w:hAnsi="Arial" w:cs="Arial"/>
          <w:sz w:val="24"/>
          <w:szCs w:val="24"/>
        </w:rPr>
        <w:t xml:space="preserve">y way of a final summary of the position, Carnwath LJ said in </w:t>
      </w:r>
      <w:r w:rsidRPr="001D62A3">
        <w:rPr>
          <w:rFonts w:ascii="Arial" w:hAnsi="Arial" w:cs="Arial"/>
          <w:i/>
          <w:iCs/>
          <w:sz w:val="24"/>
          <w:szCs w:val="24"/>
        </w:rPr>
        <w:t xml:space="preserve">E and R </w:t>
      </w:r>
      <w:r w:rsidRPr="001D62A3">
        <w:rPr>
          <w:rFonts w:ascii="Arial" w:hAnsi="Arial" w:cs="Arial"/>
          <w:sz w:val="24"/>
          <w:szCs w:val="24"/>
        </w:rPr>
        <w:t xml:space="preserve">at para 91 that an appeal on a question of law might now be made on the basis of unfairness resulting from "misunderstanding or ignorance of an established and relevant fact" and that the admission of new evidence on such an appeal was subject to </w:t>
      </w:r>
      <w:r w:rsidRPr="001D62A3">
        <w:rPr>
          <w:rFonts w:ascii="Arial" w:hAnsi="Arial" w:cs="Arial"/>
          <w:i/>
          <w:iCs/>
          <w:sz w:val="24"/>
          <w:szCs w:val="24"/>
        </w:rPr>
        <w:t>Ladd v Marshall</w:t>
      </w:r>
      <w:r w:rsidRPr="001D62A3">
        <w:rPr>
          <w:rFonts w:ascii="Arial" w:hAnsi="Arial" w:cs="Arial"/>
          <w:sz w:val="24"/>
          <w:szCs w:val="24"/>
        </w:rPr>
        <w:t xml:space="preserve"> principles, which might be departed from in exceptional circumstances where the interests of justice required.</w:t>
      </w:r>
      <w:bookmarkEnd w:id="5"/>
      <w:r w:rsidR="007526A2" w:rsidRPr="001D62A3">
        <w:rPr>
          <w:rFonts w:ascii="Arial" w:hAnsi="Arial" w:cs="Arial"/>
          <w:sz w:val="24"/>
          <w:szCs w:val="24"/>
        </w:rPr>
        <w:t>”</w:t>
      </w:r>
    </w:p>
    <w:p w14:paraId="4D824D63" w14:textId="77777777" w:rsidR="00C04DE7" w:rsidRPr="001D62A3" w:rsidRDefault="00C04DE7" w:rsidP="007B4E8E">
      <w:pPr>
        <w:tabs>
          <w:tab w:val="left" w:pos="510"/>
          <w:tab w:val="left" w:pos="1077"/>
          <w:tab w:val="left" w:pos="1797"/>
        </w:tabs>
        <w:spacing w:after="0" w:line="240" w:lineRule="auto"/>
        <w:rPr>
          <w:rFonts w:ascii="Arial" w:hAnsi="Arial" w:cs="Arial"/>
          <w:sz w:val="24"/>
          <w:szCs w:val="24"/>
        </w:rPr>
      </w:pPr>
    </w:p>
    <w:p w14:paraId="1ADF9C38" w14:textId="520A173B" w:rsidR="000668CE" w:rsidRPr="001D62A3" w:rsidRDefault="005743A4"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32.</w:t>
      </w:r>
      <w:r>
        <w:rPr>
          <w:rFonts w:ascii="Arial" w:hAnsi="Arial" w:cs="Arial"/>
          <w:sz w:val="24"/>
          <w:szCs w:val="24"/>
        </w:rPr>
        <w:tab/>
      </w:r>
      <w:r w:rsidR="00AF6AE5" w:rsidRPr="001D62A3">
        <w:rPr>
          <w:rFonts w:ascii="Arial" w:hAnsi="Arial" w:cs="Arial"/>
          <w:sz w:val="24"/>
          <w:szCs w:val="24"/>
        </w:rPr>
        <w:t xml:space="preserve">A mistake of fact on the part of a tribunal may well be demonstrated by referring to a misreading or misunderstanding of the evidence which was before it. </w:t>
      </w:r>
      <w:r w:rsidR="00C61840">
        <w:rPr>
          <w:rFonts w:ascii="Arial" w:hAnsi="Arial" w:cs="Arial"/>
          <w:sz w:val="24"/>
          <w:szCs w:val="24"/>
        </w:rPr>
        <w:t xml:space="preserve"> </w:t>
      </w:r>
      <w:r w:rsidR="00AF6AE5" w:rsidRPr="001D62A3">
        <w:rPr>
          <w:rFonts w:ascii="Arial" w:hAnsi="Arial" w:cs="Arial"/>
          <w:sz w:val="24"/>
          <w:szCs w:val="24"/>
        </w:rPr>
        <w:t>It is more likely that mistake of fact will instead be demonstrated by evidence which was not before the tribunal. A party seeking to establish mistake of fact will therefore have to request the Commissioner to accede to an application to adduce new evidence under regulation 24(7)(b) of the Procedure Regulations.</w:t>
      </w:r>
      <w:r w:rsidR="007526A2" w:rsidRPr="001D62A3">
        <w:rPr>
          <w:rFonts w:ascii="Arial" w:hAnsi="Arial" w:cs="Arial"/>
          <w:sz w:val="24"/>
          <w:szCs w:val="24"/>
        </w:rPr>
        <w:t xml:space="preserve"> </w:t>
      </w:r>
      <w:r w:rsidR="00C61840">
        <w:rPr>
          <w:rFonts w:ascii="Arial" w:hAnsi="Arial" w:cs="Arial"/>
          <w:sz w:val="24"/>
          <w:szCs w:val="24"/>
        </w:rPr>
        <w:t xml:space="preserve"> </w:t>
      </w:r>
      <w:r w:rsidR="00AF6AE5" w:rsidRPr="001D62A3">
        <w:rPr>
          <w:rFonts w:ascii="Arial" w:hAnsi="Arial" w:cs="Arial"/>
          <w:sz w:val="24"/>
          <w:szCs w:val="24"/>
        </w:rPr>
        <w:t xml:space="preserve">Where it is submitted that the tribunal has made a mistake of fact amounting </w:t>
      </w:r>
      <w:r w:rsidR="007526A2" w:rsidRPr="001D62A3">
        <w:rPr>
          <w:rFonts w:ascii="Arial" w:hAnsi="Arial" w:cs="Arial"/>
          <w:sz w:val="24"/>
          <w:szCs w:val="24"/>
        </w:rPr>
        <w:t>to an error</w:t>
      </w:r>
      <w:r w:rsidR="00AF6AE5" w:rsidRPr="001D62A3">
        <w:rPr>
          <w:rFonts w:ascii="Arial" w:hAnsi="Arial" w:cs="Arial"/>
          <w:sz w:val="24"/>
          <w:szCs w:val="24"/>
        </w:rPr>
        <w:t xml:space="preserve"> of law, the </w:t>
      </w:r>
      <w:r w:rsidR="00AF6AE5" w:rsidRPr="001D62A3">
        <w:rPr>
          <w:rFonts w:ascii="Arial" w:hAnsi="Arial" w:cs="Arial"/>
          <w:i/>
          <w:sz w:val="24"/>
          <w:szCs w:val="24"/>
        </w:rPr>
        <w:t>Ladd v Marshall</w:t>
      </w:r>
      <w:r w:rsidR="00AF6AE5" w:rsidRPr="001D62A3">
        <w:rPr>
          <w:rFonts w:ascii="Arial" w:hAnsi="Arial" w:cs="Arial"/>
          <w:sz w:val="24"/>
          <w:szCs w:val="24"/>
        </w:rPr>
        <w:t xml:space="preserve"> principles will apply unless the case is exceptional in some way.</w:t>
      </w:r>
    </w:p>
    <w:p w14:paraId="0F78CE3D" w14:textId="77777777" w:rsidR="000668CE" w:rsidRPr="001D62A3" w:rsidRDefault="000668CE" w:rsidP="00C61840">
      <w:pPr>
        <w:tabs>
          <w:tab w:val="left" w:pos="510"/>
          <w:tab w:val="left" w:pos="1077"/>
          <w:tab w:val="left" w:pos="1797"/>
        </w:tabs>
        <w:spacing w:after="0" w:line="240" w:lineRule="auto"/>
        <w:ind w:left="510" w:hanging="510"/>
        <w:jc w:val="both"/>
        <w:rPr>
          <w:rFonts w:ascii="Arial" w:hAnsi="Arial" w:cs="Arial"/>
          <w:sz w:val="24"/>
          <w:szCs w:val="24"/>
        </w:rPr>
      </w:pPr>
    </w:p>
    <w:p w14:paraId="288CAEFD" w14:textId="79422270" w:rsidR="000668C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33.</w:t>
      </w:r>
      <w:r>
        <w:rPr>
          <w:rFonts w:ascii="Arial" w:hAnsi="Arial" w:cs="Arial"/>
          <w:sz w:val="24"/>
          <w:szCs w:val="24"/>
        </w:rPr>
        <w:tab/>
      </w:r>
      <w:r w:rsidR="00F96657" w:rsidRPr="001D62A3">
        <w:rPr>
          <w:rFonts w:ascii="Arial" w:hAnsi="Arial" w:cs="Arial"/>
          <w:sz w:val="24"/>
          <w:szCs w:val="24"/>
        </w:rPr>
        <w:t xml:space="preserve">In this case the applicant essentially argues that his current diagnosis was not before the earlier tribunal and, whereas it post-dated the decision under appeal, which would normally render it inadmissible under Article 13(8)(b) of the Social Security (NI) Order 1998, it was admissible as it related to the circumstances obtaining at the date of decision. </w:t>
      </w:r>
      <w:r>
        <w:rPr>
          <w:rFonts w:ascii="Arial" w:hAnsi="Arial" w:cs="Arial"/>
          <w:sz w:val="24"/>
          <w:szCs w:val="24"/>
        </w:rPr>
        <w:t xml:space="preserve"> </w:t>
      </w:r>
      <w:r w:rsidR="00F96657" w:rsidRPr="001D62A3">
        <w:rPr>
          <w:rFonts w:ascii="Arial" w:hAnsi="Arial" w:cs="Arial"/>
          <w:sz w:val="24"/>
          <w:szCs w:val="24"/>
        </w:rPr>
        <w:t>He submits that it explains his symptoms and supports his credibility.</w:t>
      </w:r>
    </w:p>
    <w:p w14:paraId="3821D58F" w14:textId="77777777" w:rsidR="000668CE" w:rsidRPr="001D62A3" w:rsidRDefault="000668CE" w:rsidP="00C61840">
      <w:pPr>
        <w:pStyle w:val="ListParagraph"/>
        <w:tabs>
          <w:tab w:val="left" w:pos="510"/>
          <w:tab w:val="left" w:pos="1077"/>
          <w:tab w:val="left" w:pos="1797"/>
        </w:tabs>
        <w:spacing w:after="0" w:line="240" w:lineRule="auto"/>
        <w:ind w:left="510" w:hanging="510"/>
        <w:rPr>
          <w:rFonts w:ascii="Arial" w:hAnsi="Arial" w:cs="Arial"/>
          <w:sz w:val="24"/>
          <w:szCs w:val="24"/>
        </w:rPr>
      </w:pPr>
    </w:p>
    <w:p w14:paraId="050AAAE4" w14:textId="134C257B" w:rsidR="000668C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34.</w:t>
      </w:r>
      <w:r>
        <w:rPr>
          <w:rFonts w:ascii="Arial" w:hAnsi="Arial" w:cs="Arial"/>
          <w:sz w:val="24"/>
          <w:szCs w:val="24"/>
        </w:rPr>
        <w:tab/>
      </w:r>
      <w:r w:rsidR="007F2680" w:rsidRPr="001D62A3">
        <w:rPr>
          <w:rFonts w:ascii="Arial" w:hAnsi="Arial" w:cs="Arial"/>
          <w:sz w:val="24"/>
          <w:szCs w:val="24"/>
        </w:rPr>
        <w:t xml:space="preserve">I will admit the evidence under regulation 24(7)(b). </w:t>
      </w:r>
      <w:r>
        <w:rPr>
          <w:rFonts w:ascii="Arial" w:hAnsi="Arial" w:cs="Arial"/>
          <w:sz w:val="24"/>
          <w:szCs w:val="24"/>
        </w:rPr>
        <w:t xml:space="preserve"> </w:t>
      </w:r>
      <w:r w:rsidR="00AF6AE5" w:rsidRPr="001D62A3">
        <w:rPr>
          <w:rFonts w:ascii="Arial" w:hAnsi="Arial" w:cs="Arial"/>
          <w:sz w:val="24"/>
          <w:szCs w:val="24"/>
        </w:rPr>
        <w:t xml:space="preserve">The </w:t>
      </w:r>
      <w:r w:rsidR="007F2680" w:rsidRPr="001D62A3">
        <w:rPr>
          <w:rFonts w:ascii="Arial" w:hAnsi="Arial" w:cs="Arial"/>
          <w:sz w:val="24"/>
          <w:szCs w:val="24"/>
        </w:rPr>
        <w:t>first</w:t>
      </w:r>
      <w:r w:rsidR="007F2680" w:rsidRPr="001D62A3">
        <w:rPr>
          <w:rFonts w:ascii="Arial" w:hAnsi="Arial" w:cs="Arial"/>
          <w:i/>
          <w:sz w:val="24"/>
          <w:szCs w:val="24"/>
        </w:rPr>
        <w:t xml:space="preserve"> Ladd v Marshall</w:t>
      </w:r>
      <w:r w:rsidR="007F2680" w:rsidRPr="001D62A3">
        <w:rPr>
          <w:rFonts w:ascii="Arial" w:hAnsi="Arial" w:cs="Arial"/>
          <w:sz w:val="24"/>
          <w:szCs w:val="24"/>
        </w:rPr>
        <w:t xml:space="preserve"> </w:t>
      </w:r>
      <w:r w:rsidR="00AF6AE5" w:rsidRPr="001D62A3">
        <w:rPr>
          <w:rFonts w:ascii="Arial" w:hAnsi="Arial" w:cs="Arial"/>
          <w:sz w:val="24"/>
          <w:szCs w:val="24"/>
        </w:rPr>
        <w:t xml:space="preserve">question </w:t>
      </w:r>
      <w:r w:rsidR="007F2680" w:rsidRPr="001D62A3">
        <w:rPr>
          <w:rFonts w:ascii="Arial" w:hAnsi="Arial" w:cs="Arial"/>
          <w:sz w:val="24"/>
          <w:szCs w:val="24"/>
        </w:rPr>
        <w:t>i</w:t>
      </w:r>
      <w:r w:rsidR="00AF6AE5" w:rsidRPr="001D62A3">
        <w:rPr>
          <w:rFonts w:ascii="Arial" w:hAnsi="Arial" w:cs="Arial"/>
          <w:sz w:val="24"/>
          <w:szCs w:val="24"/>
        </w:rPr>
        <w:t>s whether the evidence could not have been obtained prior to the tribunal hearing with reasonable diligence.</w:t>
      </w:r>
      <w:r>
        <w:rPr>
          <w:rFonts w:ascii="Arial" w:hAnsi="Arial" w:cs="Arial"/>
          <w:sz w:val="24"/>
          <w:szCs w:val="24"/>
        </w:rPr>
        <w:t xml:space="preserve"> </w:t>
      </w:r>
      <w:r w:rsidR="00AF6AE5" w:rsidRPr="001D62A3">
        <w:rPr>
          <w:rFonts w:ascii="Arial" w:hAnsi="Arial" w:cs="Arial"/>
          <w:sz w:val="24"/>
          <w:szCs w:val="24"/>
        </w:rPr>
        <w:t xml:space="preserve"> The </w:t>
      </w:r>
      <w:r w:rsidR="007F2680" w:rsidRPr="001D62A3">
        <w:rPr>
          <w:rFonts w:ascii="Arial" w:hAnsi="Arial" w:cs="Arial"/>
          <w:sz w:val="24"/>
          <w:szCs w:val="24"/>
        </w:rPr>
        <w:t xml:space="preserve">evidence post-dated the hearing and therefore </w:t>
      </w:r>
      <w:r w:rsidR="00AF6AE5" w:rsidRPr="001D62A3">
        <w:rPr>
          <w:rFonts w:ascii="Arial" w:hAnsi="Arial" w:cs="Arial"/>
          <w:sz w:val="24"/>
          <w:szCs w:val="24"/>
        </w:rPr>
        <w:t xml:space="preserve">could not have </w:t>
      </w:r>
      <w:r w:rsidR="007F2680" w:rsidRPr="001D62A3">
        <w:rPr>
          <w:rFonts w:ascii="Arial" w:hAnsi="Arial" w:cs="Arial"/>
          <w:sz w:val="24"/>
          <w:szCs w:val="24"/>
        </w:rPr>
        <w:t xml:space="preserve">been </w:t>
      </w:r>
      <w:r w:rsidR="00AF6AE5" w:rsidRPr="001D62A3">
        <w:rPr>
          <w:rFonts w:ascii="Arial" w:hAnsi="Arial" w:cs="Arial"/>
          <w:sz w:val="24"/>
          <w:szCs w:val="24"/>
        </w:rPr>
        <w:t>obtained the documents prior to the tribunal hearing with reasonable diligence.</w:t>
      </w:r>
    </w:p>
    <w:p w14:paraId="054A9B70" w14:textId="77777777" w:rsidR="000668CE" w:rsidRPr="001D62A3" w:rsidRDefault="000668CE" w:rsidP="00C61840">
      <w:pPr>
        <w:pStyle w:val="ListParagraph"/>
        <w:tabs>
          <w:tab w:val="left" w:pos="510"/>
          <w:tab w:val="left" w:pos="1077"/>
          <w:tab w:val="left" w:pos="1797"/>
        </w:tabs>
        <w:spacing w:after="0" w:line="240" w:lineRule="auto"/>
        <w:ind w:left="510" w:hanging="510"/>
        <w:rPr>
          <w:rFonts w:ascii="Arial" w:hAnsi="Arial" w:cs="Arial"/>
          <w:sz w:val="24"/>
          <w:szCs w:val="24"/>
        </w:rPr>
      </w:pPr>
    </w:p>
    <w:p w14:paraId="1A39CA6B" w14:textId="50B7F4AA" w:rsidR="000668C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35.</w:t>
      </w:r>
      <w:r>
        <w:rPr>
          <w:rFonts w:ascii="Arial" w:hAnsi="Arial" w:cs="Arial"/>
          <w:sz w:val="24"/>
          <w:szCs w:val="24"/>
        </w:rPr>
        <w:tab/>
      </w:r>
      <w:r w:rsidR="007F2680" w:rsidRPr="001D62A3">
        <w:rPr>
          <w:rFonts w:ascii="Arial" w:hAnsi="Arial" w:cs="Arial"/>
          <w:sz w:val="24"/>
          <w:szCs w:val="24"/>
        </w:rPr>
        <w:t xml:space="preserve">The second question is whether it would probably have had an important influence on the result of the case. </w:t>
      </w:r>
      <w:r>
        <w:rPr>
          <w:rFonts w:ascii="Arial" w:hAnsi="Arial" w:cs="Arial"/>
          <w:sz w:val="24"/>
          <w:szCs w:val="24"/>
        </w:rPr>
        <w:t xml:space="preserve"> </w:t>
      </w:r>
      <w:r w:rsidR="007F2680" w:rsidRPr="001D62A3">
        <w:rPr>
          <w:rFonts w:ascii="Arial" w:hAnsi="Arial" w:cs="Arial"/>
          <w:sz w:val="24"/>
          <w:szCs w:val="24"/>
        </w:rPr>
        <w:t xml:space="preserve">It seems to me that the issue of diagnosis was a matter of some significance. </w:t>
      </w:r>
      <w:r>
        <w:rPr>
          <w:rFonts w:ascii="Arial" w:hAnsi="Arial" w:cs="Arial"/>
          <w:sz w:val="24"/>
          <w:szCs w:val="24"/>
        </w:rPr>
        <w:t xml:space="preserve"> </w:t>
      </w:r>
      <w:r w:rsidR="007F2680" w:rsidRPr="001D62A3">
        <w:rPr>
          <w:rFonts w:ascii="Arial" w:hAnsi="Arial" w:cs="Arial"/>
          <w:sz w:val="24"/>
          <w:szCs w:val="24"/>
        </w:rPr>
        <w:t>The applicant had ascribed his symptoms to long Covid, which the tribunal did not accept.</w:t>
      </w:r>
      <w:r>
        <w:rPr>
          <w:rFonts w:ascii="Arial" w:hAnsi="Arial" w:cs="Arial"/>
          <w:sz w:val="24"/>
          <w:szCs w:val="24"/>
        </w:rPr>
        <w:t xml:space="preserve"> </w:t>
      </w:r>
      <w:r w:rsidR="007F2680" w:rsidRPr="001D62A3">
        <w:rPr>
          <w:rFonts w:ascii="Arial" w:hAnsi="Arial" w:cs="Arial"/>
          <w:sz w:val="24"/>
          <w:szCs w:val="24"/>
        </w:rPr>
        <w:t xml:space="preserve"> The tribunal gave consideration to the applicant’s management of his medication for treatment of hypothyroidism and whether that aligned with his reported symptoms. </w:t>
      </w:r>
      <w:r>
        <w:rPr>
          <w:rFonts w:ascii="Arial" w:hAnsi="Arial" w:cs="Arial"/>
          <w:sz w:val="24"/>
          <w:szCs w:val="24"/>
        </w:rPr>
        <w:t xml:space="preserve"> </w:t>
      </w:r>
      <w:r w:rsidR="007F2680" w:rsidRPr="001D62A3">
        <w:rPr>
          <w:rFonts w:ascii="Arial" w:hAnsi="Arial" w:cs="Arial"/>
          <w:sz w:val="24"/>
          <w:szCs w:val="24"/>
        </w:rPr>
        <w:t xml:space="preserve">It seems to me that these matters were relevant to the tribunal’s finding that he was an unreliable and inconsistent witness. </w:t>
      </w:r>
      <w:r>
        <w:rPr>
          <w:rFonts w:ascii="Arial" w:hAnsi="Arial" w:cs="Arial"/>
          <w:sz w:val="24"/>
          <w:szCs w:val="24"/>
        </w:rPr>
        <w:t xml:space="preserve"> </w:t>
      </w:r>
      <w:r w:rsidR="007F2680" w:rsidRPr="001D62A3">
        <w:rPr>
          <w:rFonts w:ascii="Arial" w:hAnsi="Arial" w:cs="Arial"/>
          <w:sz w:val="24"/>
          <w:szCs w:val="24"/>
        </w:rPr>
        <w:t>The new material may well have</w:t>
      </w:r>
      <w:r w:rsidR="00BF6A28" w:rsidRPr="001D62A3">
        <w:rPr>
          <w:rFonts w:ascii="Arial" w:hAnsi="Arial" w:cs="Arial"/>
          <w:sz w:val="24"/>
          <w:szCs w:val="24"/>
        </w:rPr>
        <w:t xml:space="preserve"> had</w:t>
      </w:r>
      <w:r w:rsidR="007F2680" w:rsidRPr="001D62A3">
        <w:rPr>
          <w:rFonts w:ascii="Arial" w:hAnsi="Arial" w:cs="Arial"/>
          <w:sz w:val="24"/>
          <w:szCs w:val="24"/>
        </w:rPr>
        <w:t xml:space="preserve"> a</w:t>
      </w:r>
      <w:r w:rsidR="00BF6A28" w:rsidRPr="001D62A3">
        <w:rPr>
          <w:rFonts w:ascii="Arial" w:hAnsi="Arial" w:cs="Arial"/>
          <w:sz w:val="24"/>
          <w:szCs w:val="24"/>
        </w:rPr>
        <w:t>n important influence on the outcome of the case.</w:t>
      </w:r>
    </w:p>
    <w:p w14:paraId="36171D39" w14:textId="77777777" w:rsidR="000668CE" w:rsidRPr="001D62A3" w:rsidRDefault="000668CE" w:rsidP="00C61840">
      <w:pPr>
        <w:pStyle w:val="ListParagraph"/>
        <w:tabs>
          <w:tab w:val="left" w:pos="510"/>
          <w:tab w:val="left" w:pos="1077"/>
          <w:tab w:val="left" w:pos="1797"/>
        </w:tabs>
        <w:spacing w:after="0" w:line="240" w:lineRule="auto"/>
        <w:ind w:left="510" w:hanging="510"/>
        <w:rPr>
          <w:rFonts w:ascii="Arial" w:hAnsi="Arial" w:cs="Arial"/>
          <w:sz w:val="24"/>
          <w:szCs w:val="24"/>
        </w:rPr>
      </w:pPr>
    </w:p>
    <w:p w14:paraId="2FC8EFF2" w14:textId="04F7F123" w:rsidR="000668C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36.</w:t>
      </w:r>
      <w:r>
        <w:rPr>
          <w:rFonts w:ascii="Arial" w:hAnsi="Arial" w:cs="Arial"/>
          <w:sz w:val="24"/>
          <w:szCs w:val="24"/>
        </w:rPr>
        <w:tab/>
      </w:r>
      <w:r w:rsidR="00BF6A28" w:rsidRPr="001D62A3">
        <w:rPr>
          <w:rFonts w:ascii="Arial" w:hAnsi="Arial" w:cs="Arial"/>
          <w:sz w:val="24"/>
          <w:szCs w:val="24"/>
        </w:rPr>
        <w:t>Finally, the credibility of the new evidence must be addressed.</w:t>
      </w:r>
      <w:r>
        <w:rPr>
          <w:rFonts w:ascii="Arial" w:hAnsi="Arial" w:cs="Arial"/>
          <w:sz w:val="24"/>
          <w:szCs w:val="24"/>
        </w:rPr>
        <w:t xml:space="preserve"> </w:t>
      </w:r>
      <w:r w:rsidR="00BF6A28" w:rsidRPr="001D62A3">
        <w:rPr>
          <w:rFonts w:ascii="Arial" w:hAnsi="Arial" w:cs="Arial"/>
          <w:sz w:val="24"/>
          <w:szCs w:val="24"/>
        </w:rPr>
        <w:t xml:space="preserve"> I observe that it appears to be an uncertain diagnosis of chronic fatigue syndrome, albeit that his GP describes it as “likely”. </w:t>
      </w:r>
      <w:r>
        <w:rPr>
          <w:rFonts w:ascii="Arial" w:hAnsi="Arial" w:cs="Arial"/>
          <w:sz w:val="24"/>
          <w:szCs w:val="24"/>
        </w:rPr>
        <w:t xml:space="preserve"> </w:t>
      </w:r>
      <w:r w:rsidR="00BF6A28" w:rsidRPr="001D62A3">
        <w:rPr>
          <w:rFonts w:ascii="Arial" w:hAnsi="Arial" w:cs="Arial"/>
          <w:sz w:val="24"/>
          <w:szCs w:val="24"/>
        </w:rPr>
        <w:t xml:space="preserve">This is enough to support the diagnosis on the balance of probabilities. </w:t>
      </w:r>
      <w:r>
        <w:rPr>
          <w:rFonts w:ascii="Arial" w:hAnsi="Arial" w:cs="Arial"/>
          <w:sz w:val="24"/>
          <w:szCs w:val="24"/>
        </w:rPr>
        <w:t xml:space="preserve"> </w:t>
      </w:r>
      <w:r w:rsidR="00BF6A28" w:rsidRPr="001D62A3">
        <w:rPr>
          <w:rFonts w:ascii="Arial" w:hAnsi="Arial" w:cs="Arial"/>
          <w:sz w:val="24"/>
          <w:szCs w:val="24"/>
        </w:rPr>
        <w:t>I accept that it is credible and observe that it does not need to be established incontrovertibly.</w:t>
      </w:r>
    </w:p>
    <w:p w14:paraId="4AA9E164" w14:textId="77777777" w:rsidR="000668CE" w:rsidRPr="001D62A3" w:rsidRDefault="000668CE" w:rsidP="00C61840">
      <w:pPr>
        <w:pStyle w:val="ListParagraph"/>
        <w:tabs>
          <w:tab w:val="left" w:pos="510"/>
          <w:tab w:val="left" w:pos="1077"/>
          <w:tab w:val="left" w:pos="1797"/>
        </w:tabs>
        <w:spacing w:after="0" w:line="240" w:lineRule="auto"/>
        <w:ind w:left="510" w:hanging="510"/>
        <w:rPr>
          <w:rFonts w:ascii="Arial" w:hAnsi="Arial" w:cs="Arial"/>
          <w:sz w:val="24"/>
          <w:szCs w:val="24"/>
        </w:rPr>
      </w:pPr>
    </w:p>
    <w:p w14:paraId="7238A84B" w14:textId="7B46A5DB" w:rsidR="000668C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lastRenderedPageBreak/>
        <w:t>37.</w:t>
      </w:r>
      <w:r>
        <w:rPr>
          <w:rFonts w:ascii="Arial" w:hAnsi="Arial" w:cs="Arial"/>
          <w:sz w:val="24"/>
          <w:szCs w:val="24"/>
        </w:rPr>
        <w:tab/>
      </w:r>
      <w:r w:rsidR="00F45797" w:rsidRPr="001D62A3">
        <w:rPr>
          <w:rFonts w:ascii="Arial" w:hAnsi="Arial" w:cs="Arial"/>
          <w:sz w:val="24"/>
          <w:szCs w:val="24"/>
        </w:rPr>
        <w:t xml:space="preserve">I regard the tribunal’s decision on the basis of the evidence before it and its related statement of reasons as exemplary. </w:t>
      </w:r>
      <w:r>
        <w:rPr>
          <w:rFonts w:ascii="Arial" w:hAnsi="Arial" w:cs="Arial"/>
          <w:sz w:val="24"/>
          <w:szCs w:val="24"/>
        </w:rPr>
        <w:t xml:space="preserve"> </w:t>
      </w:r>
      <w:r w:rsidR="00F45797" w:rsidRPr="001D62A3">
        <w:rPr>
          <w:rFonts w:ascii="Arial" w:hAnsi="Arial" w:cs="Arial"/>
          <w:sz w:val="24"/>
          <w:szCs w:val="24"/>
        </w:rPr>
        <w:t>However, the applicant produces evidence that was not before the tribunal and which might have produced a different assessment and outcome.</w:t>
      </w:r>
      <w:r>
        <w:rPr>
          <w:rFonts w:ascii="Arial" w:hAnsi="Arial" w:cs="Arial"/>
          <w:sz w:val="24"/>
          <w:szCs w:val="24"/>
        </w:rPr>
        <w:t xml:space="preserve"> </w:t>
      </w:r>
      <w:r w:rsidR="00F45797" w:rsidRPr="001D62A3">
        <w:rPr>
          <w:rFonts w:ascii="Arial" w:hAnsi="Arial" w:cs="Arial"/>
          <w:sz w:val="24"/>
          <w:szCs w:val="24"/>
        </w:rPr>
        <w:t xml:space="preserve"> I consider that, for reasons of procedural fairness, I should </w:t>
      </w:r>
      <w:r w:rsidR="008A353E" w:rsidRPr="001D62A3">
        <w:rPr>
          <w:rFonts w:ascii="Arial" w:hAnsi="Arial" w:cs="Arial"/>
          <w:sz w:val="24"/>
          <w:szCs w:val="24"/>
        </w:rPr>
        <w:t xml:space="preserve">grant leave to appeal on the basis </w:t>
      </w:r>
      <w:r w:rsidR="00F45797" w:rsidRPr="001D62A3">
        <w:rPr>
          <w:rFonts w:ascii="Arial" w:hAnsi="Arial" w:cs="Arial"/>
          <w:sz w:val="24"/>
          <w:szCs w:val="24"/>
        </w:rPr>
        <w:t>that I have referred to above.</w:t>
      </w:r>
    </w:p>
    <w:p w14:paraId="029D45D4" w14:textId="77777777" w:rsidR="000668CE" w:rsidRPr="001D62A3" w:rsidRDefault="000668CE" w:rsidP="00C61840">
      <w:pPr>
        <w:pStyle w:val="ListParagraph"/>
        <w:tabs>
          <w:tab w:val="left" w:pos="510"/>
          <w:tab w:val="left" w:pos="1077"/>
          <w:tab w:val="left" w:pos="1797"/>
        </w:tabs>
        <w:spacing w:after="0" w:line="240" w:lineRule="auto"/>
        <w:ind w:left="510" w:hanging="510"/>
        <w:rPr>
          <w:rFonts w:ascii="Arial" w:hAnsi="Arial" w:cs="Arial"/>
          <w:sz w:val="24"/>
          <w:szCs w:val="24"/>
        </w:rPr>
      </w:pPr>
    </w:p>
    <w:p w14:paraId="668C7DCD" w14:textId="4B151E8B" w:rsidR="008A353E" w:rsidRPr="001D62A3" w:rsidRDefault="00C61840" w:rsidP="00C61840">
      <w:pPr>
        <w:tabs>
          <w:tab w:val="left" w:pos="510"/>
          <w:tab w:val="left" w:pos="1077"/>
          <w:tab w:val="left" w:pos="1797"/>
        </w:tabs>
        <w:spacing w:after="0" w:line="240" w:lineRule="auto"/>
        <w:ind w:left="510" w:hanging="510"/>
        <w:jc w:val="both"/>
        <w:rPr>
          <w:rFonts w:ascii="Arial" w:hAnsi="Arial" w:cs="Arial"/>
          <w:sz w:val="24"/>
          <w:szCs w:val="24"/>
        </w:rPr>
      </w:pPr>
      <w:r>
        <w:rPr>
          <w:rFonts w:ascii="Arial" w:hAnsi="Arial" w:cs="Arial"/>
          <w:sz w:val="24"/>
          <w:szCs w:val="24"/>
        </w:rPr>
        <w:t>38.</w:t>
      </w:r>
      <w:r>
        <w:rPr>
          <w:rFonts w:ascii="Arial" w:hAnsi="Arial" w:cs="Arial"/>
          <w:sz w:val="24"/>
          <w:szCs w:val="24"/>
        </w:rPr>
        <w:tab/>
      </w:r>
      <w:r w:rsidR="008A353E" w:rsidRPr="001D62A3">
        <w:rPr>
          <w:rFonts w:ascii="Arial" w:hAnsi="Arial" w:cs="Arial"/>
          <w:sz w:val="24"/>
          <w:szCs w:val="24"/>
        </w:rPr>
        <w:t>Whereas the tribunal has carefully addressed the applicant’s evidence and the medical evidence before it, it has rejected that he is suffering from long Covid.</w:t>
      </w:r>
      <w:r>
        <w:rPr>
          <w:rFonts w:ascii="Arial" w:hAnsi="Arial" w:cs="Arial"/>
          <w:sz w:val="24"/>
          <w:szCs w:val="24"/>
        </w:rPr>
        <w:t xml:space="preserve"> </w:t>
      </w:r>
      <w:r w:rsidR="008A353E" w:rsidRPr="001D62A3">
        <w:rPr>
          <w:rFonts w:ascii="Arial" w:hAnsi="Arial" w:cs="Arial"/>
          <w:sz w:val="24"/>
          <w:szCs w:val="24"/>
        </w:rPr>
        <w:t xml:space="preserve"> It has placed weight on the inconsistency of his symptoms with the established diagnosed conditions of hypothyroidism and pernicious anaemia. </w:t>
      </w:r>
      <w:r>
        <w:rPr>
          <w:rFonts w:ascii="Arial" w:hAnsi="Arial" w:cs="Arial"/>
          <w:sz w:val="24"/>
          <w:szCs w:val="24"/>
        </w:rPr>
        <w:t xml:space="preserve"> </w:t>
      </w:r>
      <w:r w:rsidR="008A353E" w:rsidRPr="001D62A3">
        <w:rPr>
          <w:rFonts w:ascii="Arial" w:hAnsi="Arial" w:cs="Arial"/>
          <w:sz w:val="24"/>
          <w:szCs w:val="24"/>
        </w:rPr>
        <w:t>At the same time, I recognise that it has given consideration to his employment and his travel to work routines as part of assessing his daily living and mobility activities when assessing the likely level of his needs.</w:t>
      </w:r>
      <w:r>
        <w:rPr>
          <w:rFonts w:ascii="Arial" w:hAnsi="Arial" w:cs="Arial"/>
          <w:sz w:val="24"/>
          <w:szCs w:val="24"/>
        </w:rPr>
        <w:t xml:space="preserve"> </w:t>
      </w:r>
      <w:r w:rsidR="008A353E" w:rsidRPr="001D62A3">
        <w:rPr>
          <w:rFonts w:ascii="Arial" w:hAnsi="Arial" w:cs="Arial"/>
          <w:sz w:val="24"/>
          <w:szCs w:val="24"/>
        </w:rPr>
        <w:t xml:space="preserve"> </w:t>
      </w:r>
      <w:r w:rsidR="00F555AD" w:rsidRPr="001D62A3">
        <w:rPr>
          <w:rFonts w:ascii="Arial" w:hAnsi="Arial" w:cs="Arial"/>
          <w:sz w:val="24"/>
          <w:szCs w:val="24"/>
        </w:rPr>
        <w:t>Despite this, I consider that fairness requires me to allow the appeal, to set aside the decision and to refer the appeal to a newly constituted tribunal for determination.</w:t>
      </w:r>
    </w:p>
    <w:p w14:paraId="36C30CA0" w14:textId="77777777" w:rsidR="00AC5DF0" w:rsidRPr="001D62A3" w:rsidRDefault="00AC5DF0" w:rsidP="007B4E8E">
      <w:pPr>
        <w:spacing w:after="0" w:line="240" w:lineRule="auto"/>
        <w:rPr>
          <w:rFonts w:ascii="Arial" w:hAnsi="Arial" w:cs="Arial"/>
          <w:sz w:val="24"/>
          <w:szCs w:val="24"/>
        </w:rPr>
      </w:pPr>
    </w:p>
    <w:p w14:paraId="5E21F3BA" w14:textId="77777777" w:rsidR="00AC5DF0" w:rsidRPr="001D62A3" w:rsidRDefault="00AC5DF0" w:rsidP="007B4E8E">
      <w:pPr>
        <w:spacing w:after="0" w:line="240" w:lineRule="auto"/>
        <w:rPr>
          <w:rFonts w:ascii="Arial" w:hAnsi="Arial" w:cs="Arial"/>
          <w:sz w:val="24"/>
          <w:szCs w:val="24"/>
        </w:rPr>
      </w:pPr>
    </w:p>
    <w:p w14:paraId="4A4A0F5E" w14:textId="47A4738C" w:rsidR="00AC5DF0" w:rsidRPr="00C61840" w:rsidRDefault="00AC5DF0" w:rsidP="00C61840">
      <w:pPr>
        <w:spacing w:after="0" w:line="240" w:lineRule="auto"/>
        <w:jc w:val="both"/>
        <w:rPr>
          <w:rFonts w:ascii="Arial" w:hAnsi="Arial" w:cs="Arial"/>
          <w:bCs/>
          <w:sz w:val="24"/>
          <w:szCs w:val="24"/>
        </w:rPr>
      </w:pPr>
      <w:r w:rsidRPr="001D62A3">
        <w:rPr>
          <w:rFonts w:ascii="Arial" w:hAnsi="Arial" w:cs="Arial"/>
          <w:bCs/>
          <w:sz w:val="24"/>
          <w:szCs w:val="24"/>
        </w:rPr>
        <w:t>(Signed):</w:t>
      </w:r>
      <w:r w:rsidR="00C61840">
        <w:rPr>
          <w:rFonts w:ascii="Arial" w:hAnsi="Arial" w:cs="Arial"/>
          <w:bCs/>
          <w:sz w:val="24"/>
          <w:szCs w:val="24"/>
        </w:rPr>
        <w:t xml:space="preserve">  </w:t>
      </w:r>
      <w:r w:rsidRPr="00C61840">
        <w:rPr>
          <w:rFonts w:ascii="Arial" w:hAnsi="Arial" w:cs="Arial"/>
          <w:bCs/>
          <w:sz w:val="24"/>
          <w:szCs w:val="24"/>
        </w:rPr>
        <w:t>O</w:t>
      </w:r>
      <w:r w:rsidR="00C61840" w:rsidRPr="00C61840">
        <w:rPr>
          <w:rFonts w:ascii="Arial" w:hAnsi="Arial" w:cs="Arial"/>
          <w:bCs/>
          <w:sz w:val="24"/>
          <w:szCs w:val="24"/>
        </w:rPr>
        <w:t xml:space="preserve"> </w:t>
      </w:r>
      <w:r w:rsidRPr="00C61840">
        <w:rPr>
          <w:rFonts w:ascii="Arial" w:hAnsi="Arial" w:cs="Arial"/>
          <w:bCs/>
          <w:sz w:val="24"/>
          <w:szCs w:val="24"/>
        </w:rPr>
        <w:t>STOCKMAN</w:t>
      </w:r>
    </w:p>
    <w:p w14:paraId="38399FAA" w14:textId="77777777" w:rsidR="00C61840" w:rsidRPr="00C61840" w:rsidRDefault="00C61840" w:rsidP="007B4E8E">
      <w:pPr>
        <w:tabs>
          <w:tab w:val="left" w:pos="1701"/>
        </w:tabs>
        <w:spacing w:after="0" w:line="240" w:lineRule="auto"/>
        <w:jc w:val="both"/>
        <w:rPr>
          <w:rFonts w:ascii="Arial" w:hAnsi="Arial" w:cs="Arial"/>
          <w:bCs/>
          <w:sz w:val="24"/>
          <w:szCs w:val="24"/>
        </w:rPr>
      </w:pPr>
    </w:p>
    <w:p w14:paraId="163C6DA1" w14:textId="15AF0777" w:rsidR="00AC5DF0" w:rsidRPr="00C61840" w:rsidRDefault="00AC5DF0" w:rsidP="007B4E8E">
      <w:pPr>
        <w:tabs>
          <w:tab w:val="left" w:pos="1701"/>
        </w:tabs>
        <w:spacing w:after="0" w:line="240" w:lineRule="auto"/>
        <w:jc w:val="both"/>
        <w:rPr>
          <w:rFonts w:ascii="Arial" w:hAnsi="Arial" w:cs="Arial"/>
          <w:bCs/>
          <w:sz w:val="24"/>
          <w:szCs w:val="24"/>
        </w:rPr>
      </w:pPr>
      <w:r w:rsidRPr="00C61840">
        <w:rPr>
          <w:rFonts w:ascii="Arial" w:hAnsi="Arial" w:cs="Arial"/>
          <w:bCs/>
          <w:sz w:val="24"/>
          <w:szCs w:val="24"/>
        </w:rPr>
        <w:t>COMMISSIONER</w:t>
      </w:r>
    </w:p>
    <w:p w14:paraId="27468338" w14:textId="77777777" w:rsidR="00AC5DF0" w:rsidRPr="001D62A3" w:rsidRDefault="00AC5DF0" w:rsidP="007B4E8E">
      <w:pPr>
        <w:spacing w:after="0" w:line="240" w:lineRule="auto"/>
        <w:jc w:val="both"/>
        <w:rPr>
          <w:rFonts w:ascii="Arial" w:hAnsi="Arial" w:cs="Arial"/>
          <w:bCs/>
          <w:sz w:val="24"/>
          <w:szCs w:val="24"/>
        </w:rPr>
      </w:pPr>
    </w:p>
    <w:p w14:paraId="5724CAFE" w14:textId="77777777" w:rsidR="00AC5DF0" w:rsidRDefault="00AC5DF0" w:rsidP="007B4E8E">
      <w:pPr>
        <w:spacing w:after="0" w:line="240" w:lineRule="auto"/>
        <w:jc w:val="both"/>
        <w:rPr>
          <w:rFonts w:ascii="Arial" w:hAnsi="Arial" w:cs="Arial"/>
          <w:bCs/>
          <w:sz w:val="24"/>
          <w:szCs w:val="24"/>
        </w:rPr>
      </w:pPr>
    </w:p>
    <w:p w14:paraId="7593B216" w14:textId="77777777" w:rsidR="00C61840" w:rsidRPr="001D62A3" w:rsidRDefault="00C61840" w:rsidP="007B4E8E">
      <w:pPr>
        <w:spacing w:after="0" w:line="240" w:lineRule="auto"/>
        <w:jc w:val="both"/>
        <w:rPr>
          <w:rFonts w:ascii="Arial" w:hAnsi="Arial" w:cs="Arial"/>
          <w:bCs/>
          <w:sz w:val="24"/>
          <w:szCs w:val="24"/>
        </w:rPr>
      </w:pPr>
    </w:p>
    <w:p w14:paraId="56CC60A5" w14:textId="65E519BE" w:rsidR="004E34D6" w:rsidRPr="001D62A3" w:rsidRDefault="00A007D1" w:rsidP="00C61840">
      <w:pPr>
        <w:spacing w:after="0" w:line="240" w:lineRule="auto"/>
        <w:jc w:val="both"/>
        <w:rPr>
          <w:rFonts w:ascii="Arial" w:hAnsi="Arial" w:cs="Arial"/>
          <w:sz w:val="24"/>
          <w:szCs w:val="24"/>
        </w:rPr>
      </w:pPr>
      <w:r w:rsidRPr="001D62A3">
        <w:rPr>
          <w:rFonts w:ascii="Arial" w:hAnsi="Arial" w:cs="Arial"/>
          <w:bCs/>
          <w:sz w:val="24"/>
          <w:szCs w:val="24"/>
        </w:rPr>
        <w:t>5 March 2025</w:t>
      </w:r>
    </w:p>
    <w:sectPr w:rsidR="004E34D6" w:rsidRPr="001D62A3" w:rsidSect="001D62A3">
      <w:footerReference w:type="default" r:id="rId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B0521" w14:textId="77777777" w:rsidR="00165288" w:rsidRDefault="00165288">
      <w:pPr>
        <w:spacing w:after="0" w:line="240" w:lineRule="auto"/>
      </w:pPr>
      <w:r>
        <w:separator/>
      </w:r>
    </w:p>
  </w:endnote>
  <w:endnote w:type="continuationSeparator" w:id="0">
    <w:p w14:paraId="6B0E45FF" w14:textId="77777777" w:rsidR="00165288" w:rsidRDefault="0016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968EF" w14:textId="553E7A11" w:rsidR="00226771" w:rsidRPr="007B4E8E" w:rsidRDefault="00226771" w:rsidP="007B4E8E">
    <w:pPr>
      <w:pStyle w:val="Footer"/>
      <w:jc w:val="center"/>
      <w:rPr>
        <w:rFonts w:ascii="Arial" w:hAnsi="Arial" w:cs="Arial"/>
        <w:sz w:val="24"/>
        <w:szCs w:val="24"/>
      </w:rPr>
    </w:pPr>
    <w:r w:rsidRPr="007B4E8E">
      <w:rPr>
        <w:rFonts w:ascii="Arial" w:hAnsi="Arial" w:cs="Arial"/>
        <w:sz w:val="24"/>
        <w:szCs w:val="24"/>
      </w:rPr>
      <w:fldChar w:fldCharType="begin"/>
    </w:r>
    <w:r w:rsidRPr="007B4E8E">
      <w:rPr>
        <w:rFonts w:ascii="Arial" w:hAnsi="Arial" w:cs="Arial"/>
        <w:sz w:val="24"/>
        <w:szCs w:val="24"/>
      </w:rPr>
      <w:instrText xml:space="preserve"> PAGE   \* MERGEFORMAT </w:instrText>
    </w:r>
    <w:r w:rsidRPr="007B4E8E">
      <w:rPr>
        <w:rFonts w:ascii="Arial" w:hAnsi="Arial" w:cs="Arial"/>
        <w:sz w:val="24"/>
        <w:szCs w:val="24"/>
      </w:rPr>
      <w:fldChar w:fldCharType="separate"/>
    </w:r>
    <w:r w:rsidR="00023EF5" w:rsidRPr="007B4E8E">
      <w:rPr>
        <w:rFonts w:ascii="Arial" w:hAnsi="Arial" w:cs="Arial"/>
        <w:noProof/>
        <w:sz w:val="24"/>
        <w:szCs w:val="24"/>
      </w:rPr>
      <w:t>1</w:t>
    </w:r>
    <w:r w:rsidRPr="007B4E8E">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A5DC0" w14:textId="77777777" w:rsidR="00165288" w:rsidRDefault="00165288">
      <w:pPr>
        <w:spacing w:after="0" w:line="240" w:lineRule="auto"/>
      </w:pPr>
      <w:r>
        <w:separator/>
      </w:r>
    </w:p>
  </w:footnote>
  <w:footnote w:type="continuationSeparator" w:id="0">
    <w:p w14:paraId="4DA3A34E" w14:textId="77777777" w:rsidR="00165288" w:rsidRDefault="00165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6538"/>
    <w:multiLevelType w:val="hybridMultilevel"/>
    <w:tmpl w:val="A7C829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F28AA"/>
    <w:multiLevelType w:val="hybridMultilevel"/>
    <w:tmpl w:val="89B0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056FB"/>
    <w:multiLevelType w:val="hybridMultilevel"/>
    <w:tmpl w:val="33047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CB7577"/>
    <w:multiLevelType w:val="hybridMultilevel"/>
    <w:tmpl w:val="88E42710"/>
    <w:lvl w:ilvl="0" w:tplc="C13EE6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0E7017"/>
    <w:multiLevelType w:val="hybridMultilevel"/>
    <w:tmpl w:val="CE509170"/>
    <w:lvl w:ilvl="0" w:tplc="B9E66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4545227">
    <w:abstractNumId w:val="3"/>
  </w:num>
  <w:num w:numId="2" w16cid:durableId="594090219">
    <w:abstractNumId w:val="4"/>
  </w:num>
  <w:num w:numId="3" w16cid:durableId="551506188">
    <w:abstractNumId w:val="1"/>
  </w:num>
  <w:num w:numId="4" w16cid:durableId="1984889837">
    <w:abstractNumId w:val="2"/>
  </w:num>
  <w:num w:numId="5" w16cid:durableId="111956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57"/>
    <w:rsid w:val="000104A8"/>
    <w:rsid w:val="0002219E"/>
    <w:rsid w:val="00023EF5"/>
    <w:rsid w:val="000668CE"/>
    <w:rsid w:val="000B4895"/>
    <w:rsid w:val="000E78D1"/>
    <w:rsid w:val="00105E4C"/>
    <w:rsid w:val="00165288"/>
    <w:rsid w:val="00185954"/>
    <w:rsid w:val="001A0B27"/>
    <w:rsid w:val="001B0870"/>
    <w:rsid w:val="001D62A3"/>
    <w:rsid w:val="001D7BB9"/>
    <w:rsid w:val="00202809"/>
    <w:rsid w:val="0020500D"/>
    <w:rsid w:val="002207C0"/>
    <w:rsid w:val="002243C2"/>
    <w:rsid w:val="00226771"/>
    <w:rsid w:val="00230303"/>
    <w:rsid w:val="0024114E"/>
    <w:rsid w:val="00257B24"/>
    <w:rsid w:val="00267005"/>
    <w:rsid w:val="0028444E"/>
    <w:rsid w:val="002847BF"/>
    <w:rsid w:val="00286BCD"/>
    <w:rsid w:val="0029032B"/>
    <w:rsid w:val="002A69CE"/>
    <w:rsid w:val="002E4135"/>
    <w:rsid w:val="002F7793"/>
    <w:rsid w:val="0031344E"/>
    <w:rsid w:val="003226DE"/>
    <w:rsid w:val="0032412E"/>
    <w:rsid w:val="0035349C"/>
    <w:rsid w:val="003600CF"/>
    <w:rsid w:val="0036386C"/>
    <w:rsid w:val="00374D88"/>
    <w:rsid w:val="00376224"/>
    <w:rsid w:val="00394851"/>
    <w:rsid w:val="00395592"/>
    <w:rsid w:val="003B2D35"/>
    <w:rsid w:val="003D612A"/>
    <w:rsid w:val="003E5602"/>
    <w:rsid w:val="0042122C"/>
    <w:rsid w:val="00423739"/>
    <w:rsid w:val="00432B29"/>
    <w:rsid w:val="004B0412"/>
    <w:rsid w:val="004B4197"/>
    <w:rsid w:val="004E34D6"/>
    <w:rsid w:val="004F1335"/>
    <w:rsid w:val="00506CCB"/>
    <w:rsid w:val="00535C1A"/>
    <w:rsid w:val="00553C04"/>
    <w:rsid w:val="00561402"/>
    <w:rsid w:val="00570851"/>
    <w:rsid w:val="005743A4"/>
    <w:rsid w:val="005951F1"/>
    <w:rsid w:val="005C1187"/>
    <w:rsid w:val="005C4B3D"/>
    <w:rsid w:val="005D3129"/>
    <w:rsid w:val="005F5D96"/>
    <w:rsid w:val="005F70C9"/>
    <w:rsid w:val="00630405"/>
    <w:rsid w:val="00663BE9"/>
    <w:rsid w:val="00673925"/>
    <w:rsid w:val="006A2759"/>
    <w:rsid w:val="006D6575"/>
    <w:rsid w:val="006F304D"/>
    <w:rsid w:val="006F7695"/>
    <w:rsid w:val="00707F3A"/>
    <w:rsid w:val="007526A2"/>
    <w:rsid w:val="0077623E"/>
    <w:rsid w:val="007A5BC7"/>
    <w:rsid w:val="007B4E8E"/>
    <w:rsid w:val="007C7A96"/>
    <w:rsid w:val="007E1B45"/>
    <w:rsid w:val="007F2680"/>
    <w:rsid w:val="008143F7"/>
    <w:rsid w:val="00841013"/>
    <w:rsid w:val="00846BB1"/>
    <w:rsid w:val="008910CC"/>
    <w:rsid w:val="00891682"/>
    <w:rsid w:val="008951BA"/>
    <w:rsid w:val="008A353E"/>
    <w:rsid w:val="008A48E1"/>
    <w:rsid w:val="008A4EB6"/>
    <w:rsid w:val="008A7409"/>
    <w:rsid w:val="008C0E33"/>
    <w:rsid w:val="008C7E89"/>
    <w:rsid w:val="008F3BF7"/>
    <w:rsid w:val="008F568E"/>
    <w:rsid w:val="009413F4"/>
    <w:rsid w:val="009430A7"/>
    <w:rsid w:val="00984AF7"/>
    <w:rsid w:val="0099219A"/>
    <w:rsid w:val="009C1B49"/>
    <w:rsid w:val="009C36C6"/>
    <w:rsid w:val="009F4236"/>
    <w:rsid w:val="00A007D1"/>
    <w:rsid w:val="00A01620"/>
    <w:rsid w:val="00A35E13"/>
    <w:rsid w:val="00A871A2"/>
    <w:rsid w:val="00AA2550"/>
    <w:rsid w:val="00AB0F3C"/>
    <w:rsid w:val="00AC36C0"/>
    <w:rsid w:val="00AC5DF0"/>
    <w:rsid w:val="00AD72C8"/>
    <w:rsid w:val="00AF3B58"/>
    <w:rsid w:val="00AF565E"/>
    <w:rsid w:val="00AF6AE5"/>
    <w:rsid w:val="00B3776E"/>
    <w:rsid w:val="00B54E70"/>
    <w:rsid w:val="00B555FE"/>
    <w:rsid w:val="00B71373"/>
    <w:rsid w:val="00B95F6B"/>
    <w:rsid w:val="00BB469A"/>
    <w:rsid w:val="00BC534F"/>
    <w:rsid w:val="00BF5B73"/>
    <w:rsid w:val="00BF6A28"/>
    <w:rsid w:val="00C04DE7"/>
    <w:rsid w:val="00C35E24"/>
    <w:rsid w:val="00C56497"/>
    <w:rsid w:val="00C61840"/>
    <w:rsid w:val="00C81A39"/>
    <w:rsid w:val="00C948C4"/>
    <w:rsid w:val="00CF40F9"/>
    <w:rsid w:val="00D0277C"/>
    <w:rsid w:val="00D222C0"/>
    <w:rsid w:val="00D76B09"/>
    <w:rsid w:val="00D841B7"/>
    <w:rsid w:val="00D846E9"/>
    <w:rsid w:val="00DB7649"/>
    <w:rsid w:val="00DF64E7"/>
    <w:rsid w:val="00E027D9"/>
    <w:rsid w:val="00E25244"/>
    <w:rsid w:val="00E25615"/>
    <w:rsid w:val="00E67581"/>
    <w:rsid w:val="00E77B2F"/>
    <w:rsid w:val="00EB3F4F"/>
    <w:rsid w:val="00EC2557"/>
    <w:rsid w:val="00EC78E7"/>
    <w:rsid w:val="00EC7DC4"/>
    <w:rsid w:val="00F02623"/>
    <w:rsid w:val="00F1192E"/>
    <w:rsid w:val="00F2040F"/>
    <w:rsid w:val="00F36E1C"/>
    <w:rsid w:val="00F40D53"/>
    <w:rsid w:val="00F45797"/>
    <w:rsid w:val="00F555AD"/>
    <w:rsid w:val="00F62362"/>
    <w:rsid w:val="00F71599"/>
    <w:rsid w:val="00F811DA"/>
    <w:rsid w:val="00F929AC"/>
    <w:rsid w:val="00F96657"/>
    <w:rsid w:val="00FA1B57"/>
    <w:rsid w:val="00FC1DE2"/>
    <w:rsid w:val="00FD265D"/>
    <w:rsid w:val="00FE04CB"/>
    <w:rsid w:val="00FE6180"/>
    <w:rsid w:val="00FF2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2908"/>
  <w15:chartTrackingRefBased/>
  <w15:docId w15:val="{4C42DAE5-B0D9-49B3-98B4-C24CE95A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BB9"/>
    <w:pPr>
      <w:tabs>
        <w:tab w:val="center" w:pos="4513"/>
        <w:tab w:val="right" w:pos="9026"/>
      </w:tabs>
    </w:pPr>
  </w:style>
  <w:style w:type="character" w:customStyle="1" w:styleId="FooterChar">
    <w:name w:val="Footer Char"/>
    <w:link w:val="Footer"/>
    <w:uiPriority w:val="99"/>
    <w:rsid w:val="001D7BB9"/>
    <w:rPr>
      <w:sz w:val="22"/>
      <w:szCs w:val="22"/>
      <w:lang w:eastAsia="en-US"/>
    </w:rPr>
  </w:style>
  <w:style w:type="character" w:styleId="Hyperlink">
    <w:name w:val="Hyperlink"/>
    <w:uiPriority w:val="99"/>
    <w:unhideWhenUsed/>
    <w:rsid w:val="00AF6AE5"/>
    <w:rPr>
      <w:color w:val="0000FF"/>
      <w:u w:val="single"/>
    </w:rPr>
  </w:style>
  <w:style w:type="paragraph" w:styleId="NormalWeb">
    <w:name w:val="Normal (Web)"/>
    <w:basedOn w:val="Normal"/>
    <w:uiPriority w:val="99"/>
    <w:unhideWhenUsed/>
    <w:rsid w:val="00AF6AE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9C36C6"/>
    <w:pPr>
      <w:ind w:left="720"/>
    </w:pPr>
  </w:style>
  <w:style w:type="paragraph" w:styleId="Header">
    <w:name w:val="header"/>
    <w:basedOn w:val="Normal"/>
    <w:link w:val="HeaderChar"/>
    <w:uiPriority w:val="99"/>
    <w:unhideWhenUsed/>
    <w:rsid w:val="007B4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E8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lii.org/cgi-bin/redirect.cgi?path=/ew/cases/EWCA/Civ/2004/4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eterminations%20and%20decisions%202024-25\PIP%20application%20template%202024-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PIP application template 2024-25</Template>
  <TotalTime>1</TotalTime>
  <Pages>10</Pages>
  <Words>3607</Words>
  <Characters>20562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C29/24-25(PIP)</vt:lpstr>
    </vt:vector>
  </TitlesOfParts>
  <Company/>
  <LinksUpToDate>false</LinksUpToDate>
  <CharactersWithSpaces>24121</CharactersWithSpaces>
  <SharedDoc>false</SharedDoc>
  <HLinks>
    <vt:vector size="24" baseType="variant">
      <vt:variant>
        <vt:i4>6750255</vt:i4>
      </vt:variant>
      <vt:variant>
        <vt:i4>9</vt:i4>
      </vt:variant>
      <vt:variant>
        <vt:i4>0</vt:i4>
      </vt:variant>
      <vt:variant>
        <vt:i4>5</vt:i4>
      </vt:variant>
      <vt:variant>
        <vt:lpwstr>http://www.bailii.org/cgi-bin/redirect.cgi?path=/ew/cases/EWCA/Civ/1954/1.html</vt:lpwstr>
      </vt:variant>
      <vt:variant>
        <vt:lpwstr/>
      </vt:variant>
      <vt:variant>
        <vt:i4>4325402</vt:i4>
      </vt:variant>
      <vt:variant>
        <vt:i4>6</vt:i4>
      </vt:variant>
      <vt:variant>
        <vt:i4>0</vt:i4>
      </vt:variant>
      <vt:variant>
        <vt:i4>5</vt:i4>
      </vt:variant>
      <vt:variant>
        <vt:lpwstr>http://www.bailii.org/ew/cases/EWCA/Civ/2003/530.html</vt:lpwstr>
      </vt:variant>
      <vt:variant>
        <vt:lpwstr/>
      </vt:variant>
      <vt:variant>
        <vt:i4>7012476</vt:i4>
      </vt:variant>
      <vt:variant>
        <vt:i4>3</vt:i4>
      </vt:variant>
      <vt:variant>
        <vt:i4>0</vt:i4>
      </vt:variant>
      <vt:variant>
        <vt:i4>5</vt:i4>
      </vt:variant>
      <vt:variant>
        <vt:lpwstr>http://www.bailii.org/cgi-bin/redirect.cgi?path=/ew/cases/EWCA/Civ/2004/49.html</vt:lpwstr>
      </vt:variant>
      <vt:variant>
        <vt:lpwstr/>
      </vt:variant>
      <vt:variant>
        <vt:i4>4653135</vt:i4>
      </vt:variant>
      <vt:variant>
        <vt:i4>0</vt:i4>
      </vt:variant>
      <vt:variant>
        <vt:i4>0</vt:i4>
      </vt:variant>
      <vt:variant>
        <vt:i4>5</vt:i4>
      </vt:variant>
      <vt:variant>
        <vt:lpwstr>http://www.bailii.org/ew/cases/EWCA/Civ/2004/49.html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C29/24-25(PIP)</dc:title>
  <dc:subject/>
  <dc:creator>Bowman, Marie</dc:creator>
  <cp:keywords/>
  <cp:lastModifiedBy>Patterson, Laura</cp:lastModifiedBy>
  <cp:revision>2</cp:revision>
  <cp:lastPrinted>2025-03-04T09:53:00Z</cp:lastPrinted>
  <dcterms:created xsi:type="dcterms:W3CDTF">2025-03-10T11:37:00Z</dcterms:created>
  <dcterms:modified xsi:type="dcterms:W3CDTF">2025-03-10T11:37:00Z</dcterms:modified>
</cp:coreProperties>
</file>