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026F3" w14:textId="2B10A72D" w:rsidR="00863417" w:rsidRPr="00CC7DE6" w:rsidRDefault="00870579" w:rsidP="00CC7DE6">
      <w:pPr>
        <w:suppressAutoHyphens/>
        <w:spacing w:after="0" w:line="240" w:lineRule="auto"/>
        <w:jc w:val="right"/>
        <w:rPr>
          <w:rFonts w:ascii="Arial" w:hAnsi="Arial" w:cs="Arial"/>
          <w:color w:val="000000" w:themeColor="text1"/>
          <w:kern w:val="0"/>
          <w:sz w:val="24"/>
          <w:szCs w:val="24"/>
        </w:rPr>
      </w:pPr>
      <w:r>
        <w:rPr>
          <w:rFonts w:ascii="Arial" w:hAnsi="Arial" w:cs="Arial"/>
          <w:color w:val="000000" w:themeColor="text1"/>
          <w:kern w:val="0"/>
          <w:sz w:val="24"/>
          <w:szCs w:val="24"/>
        </w:rPr>
        <w:t>S</w:t>
      </w:r>
      <w:r w:rsidR="00863417" w:rsidRPr="00CC7DE6">
        <w:rPr>
          <w:rFonts w:ascii="Arial" w:hAnsi="Arial" w:cs="Arial"/>
          <w:color w:val="000000" w:themeColor="text1"/>
          <w:kern w:val="0"/>
          <w:sz w:val="24"/>
          <w:szCs w:val="24"/>
        </w:rPr>
        <w:t>G -v- Department for Communities (UC) [2024] NICom 47</w:t>
      </w:r>
    </w:p>
    <w:p w14:paraId="7EF31782" w14:textId="77777777" w:rsidR="00863417" w:rsidRPr="00CC7DE6" w:rsidRDefault="00863417" w:rsidP="00CC7DE6">
      <w:pPr>
        <w:suppressAutoHyphens/>
        <w:spacing w:after="0" w:line="240" w:lineRule="auto"/>
        <w:jc w:val="right"/>
        <w:rPr>
          <w:rFonts w:ascii="Arial" w:hAnsi="Arial" w:cs="Arial"/>
          <w:color w:val="000000" w:themeColor="text1"/>
          <w:kern w:val="0"/>
          <w:sz w:val="24"/>
          <w:szCs w:val="24"/>
        </w:rPr>
      </w:pPr>
    </w:p>
    <w:p w14:paraId="153DB4B6" w14:textId="7C17FC0C" w:rsidR="00863417" w:rsidRPr="00CC7DE6" w:rsidRDefault="00863417" w:rsidP="00CC7DE6">
      <w:pPr>
        <w:suppressAutoHyphens/>
        <w:spacing w:after="0" w:line="240" w:lineRule="auto"/>
        <w:jc w:val="right"/>
        <w:rPr>
          <w:rFonts w:ascii="Arial" w:hAnsi="Arial" w:cs="Arial"/>
          <w:color w:val="000000" w:themeColor="text1"/>
          <w:kern w:val="0"/>
          <w:sz w:val="24"/>
          <w:szCs w:val="24"/>
        </w:rPr>
      </w:pPr>
      <w:r w:rsidRPr="00CC7DE6">
        <w:rPr>
          <w:rFonts w:ascii="Arial" w:hAnsi="Arial" w:cs="Arial"/>
          <w:color w:val="000000" w:themeColor="text1"/>
          <w:kern w:val="0"/>
          <w:sz w:val="24"/>
          <w:szCs w:val="24"/>
        </w:rPr>
        <w:t>Decision No:  C4/23-24(UC)</w:t>
      </w:r>
    </w:p>
    <w:p w14:paraId="0C7D5524" w14:textId="41377FF0" w:rsidR="00863417" w:rsidRPr="00CC7DE6" w:rsidRDefault="00863417" w:rsidP="00CC7DE6">
      <w:pPr>
        <w:suppressAutoHyphens/>
        <w:spacing w:after="0" w:line="240" w:lineRule="auto"/>
        <w:jc w:val="both"/>
        <w:rPr>
          <w:rFonts w:ascii="Arial" w:hAnsi="Arial" w:cs="Arial"/>
          <w:color w:val="000000" w:themeColor="text1"/>
          <w:kern w:val="0"/>
          <w:sz w:val="24"/>
          <w:szCs w:val="24"/>
        </w:rPr>
      </w:pPr>
    </w:p>
    <w:p w14:paraId="2A6D3379" w14:textId="77777777" w:rsidR="00CC7DE6" w:rsidRPr="00CC7DE6" w:rsidRDefault="00CC7DE6" w:rsidP="00CC7DE6">
      <w:pPr>
        <w:suppressAutoHyphens/>
        <w:spacing w:after="0" w:line="240" w:lineRule="auto"/>
        <w:jc w:val="both"/>
        <w:rPr>
          <w:rFonts w:ascii="Arial" w:hAnsi="Arial" w:cs="Arial"/>
          <w:color w:val="000000" w:themeColor="text1"/>
          <w:kern w:val="0"/>
          <w:sz w:val="24"/>
          <w:szCs w:val="24"/>
        </w:rPr>
      </w:pPr>
    </w:p>
    <w:p w14:paraId="08972EDB" w14:textId="77777777" w:rsidR="00CC7DE6" w:rsidRPr="00CC7DE6" w:rsidRDefault="00CC7DE6" w:rsidP="00CC7DE6">
      <w:pPr>
        <w:suppressAutoHyphens/>
        <w:spacing w:after="0" w:line="240" w:lineRule="auto"/>
        <w:jc w:val="both"/>
        <w:rPr>
          <w:rFonts w:ascii="Arial" w:hAnsi="Arial" w:cs="Arial"/>
          <w:color w:val="000000" w:themeColor="text1"/>
          <w:kern w:val="0"/>
          <w:sz w:val="24"/>
          <w:szCs w:val="24"/>
        </w:rPr>
      </w:pPr>
    </w:p>
    <w:p w14:paraId="3F3800F9" w14:textId="77777777" w:rsidR="00863417" w:rsidRPr="00CC7DE6" w:rsidRDefault="00863417" w:rsidP="00CC7DE6">
      <w:pPr>
        <w:suppressAutoHyphens/>
        <w:spacing w:after="0" w:line="240" w:lineRule="auto"/>
        <w:jc w:val="both"/>
        <w:rPr>
          <w:rFonts w:ascii="Arial" w:hAnsi="Arial" w:cs="Arial"/>
          <w:color w:val="000000" w:themeColor="text1"/>
          <w:kern w:val="0"/>
          <w:sz w:val="24"/>
          <w:szCs w:val="24"/>
        </w:rPr>
      </w:pPr>
    </w:p>
    <w:p w14:paraId="6BC90F72" w14:textId="77777777" w:rsidR="00863417" w:rsidRPr="00CC7DE6" w:rsidRDefault="00863417" w:rsidP="00CC7DE6">
      <w:pPr>
        <w:suppressAutoHyphens/>
        <w:spacing w:after="0" w:line="240" w:lineRule="auto"/>
        <w:jc w:val="center"/>
        <w:rPr>
          <w:rFonts w:ascii="Arial" w:hAnsi="Arial" w:cs="Arial"/>
          <w:b/>
          <w:bCs/>
          <w:color w:val="000000" w:themeColor="text1"/>
          <w:kern w:val="0"/>
          <w:sz w:val="24"/>
          <w:szCs w:val="24"/>
        </w:rPr>
      </w:pPr>
      <w:r w:rsidRPr="00CC7DE6">
        <w:rPr>
          <w:rFonts w:ascii="Arial" w:hAnsi="Arial" w:cs="Arial"/>
          <w:b/>
          <w:bCs/>
          <w:color w:val="000000" w:themeColor="text1"/>
          <w:kern w:val="0"/>
          <w:sz w:val="24"/>
          <w:szCs w:val="24"/>
        </w:rPr>
        <w:t>SOCIAL SECURITY ADMINISTRATION (NORTHERN IRELAND) ACT 1992</w:t>
      </w:r>
    </w:p>
    <w:p w14:paraId="1B627729" w14:textId="77777777" w:rsidR="00863417" w:rsidRPr="00CC7DE6" w:rsidRDefault="00863417" w:rsidP="00CC7DE6">
      <w:pPr>
        <w:suppressAutoHyphens/>
        <w:spacing w:after="0" w:line="240" w:lineRule="auto"/>
        <w:jc w:val="center"/>
        <w:rPr>
          <w:rFonts w:ascii="Arial" w:hAnsi="Arial" w:cs="Arial"/>
          <w:b/>
          <w:bCs/>
          <w:color w:val="000000" w:themeColor="text1"/>
          <w:kern w:val="0"/>
          <w:sz w:val="24"/>
          <w:szCs w:val="24"/>
        </w:rPr>
      </w:pPr>
    </w:p>
    <w:p w14:paraId="2B82255B" w14:textId="77777777" w:rsidR="00863417" w:rsidRPr="00CC7DE6" w:rsidRDefault="00863417" w:rsidP="00CC7DE6">
      <w:pPr>
        <w:suppressAutoHyphens/>
        <w:spacing w:after="0" w:line="240" w:lineRule="auto"/>
        <w:jc w:val="center"/>
        <w:rPr>
          <w:rFonts w:ascii="Arial" w:hAnsi="Arial" w:cs="Arial"/>
          <w:b/>
          <w:bCs/>
          <w:color w:val="000000" w:themeColor="text1"/>
          <w:kern w:val="0"/>
          <w:sz w:val="24"/>
          <w:szCs w:val="24"/>
        </w:rPr>
      </w:pPr>
      <w:r w:rsidRPr="00CC7DE6">
        <w:rPr>
          <w:rFonts w:ascii="Arial" w:hAnsi="Arial" w:cs="Arial"/>
          <w:b/>
          <w:bCs/>
          <w:color w:val="000000" w:themeColor="text1"/>
          <w:kern w:val="0"/>
          <w:sz w:val="24"/>
          <w:szCs w:val="24"/>
        </w:rPr>
        <w:t>SOCIAL SECURITY (NORTHERN IRELAND) ORDER 1998</w:t>
      </w:r>
    </w:p>
    <w:p w14:paraId="3ADFD625" w14:textId="77777777" w:rsidR="00863417" w:rsidRPr="00CC7DE6" w:rsidRDefault="00863417" w:rsidP="00CC7DE6">
      <w:pPr>
        <w:suppressAutoHyphens/>
        <w:spacing w:after="0" w:line="240" w:lineRule="auto"/>
        <w:jc w:val="center"/>
        <w:rPr>
          <w:rFonts w:ascii="Arial" w:hAnsi="Arial" w:cs="Arial"/>
          <w:b/>
          <w:bCs/>
          <w:color w:val="000000" w:themeColor="text1"/>
          <w:kern w:val="0"/>
          <w:sz w:val="24"/>
          <w:szCs w:val="24"/>
        </w:rPr>
      </w:pPr>
    </w:p>
    <w:p w14:paraId="38272B39" w14:textId="77777777" w:rsidR="00863417" w:rsidRPr="00CC7DE6" w:rsidRDefault="00863417" w:rsidP="00CC7DE6">
      <w:pPr>
        <w:suppressAutoHyphens/>
        <w:spacing w:after="0" w:line="240" w:lineRule="auto"/>
        <w:jc w:val="center"/>
        <w:rPr>
          <w:rFonts w:ascii="Arial" w:hAnsi="Arial" w:cs="Arial"/>
          <w:b/>
          <w:bCs/>
          <w:color w:val="000000" w:themeColor="text1"/>
          <w:kern w:val="0"/>
          <w:sz w:val="24"/>
          <w:szCs w:val="24"/>
        </w:rPr>
      </w:pPr>
    </w:p>
    <w:p w14:paraId="51B2051E" w14:textId="77777777" w:rsidR="00863417" w:rsidRPr="00CC7DE6" w:rsidRDefault="00863417" w:rsidP="00CC7DE6">
      <w:pPr>
        <w:tabs>
          <w:tab w:val="center" w:pos="4513"/>
        </w:tabs>
        <w:suppressAutoHyphens/>
        <w:spacing w:after="0" w:line="240" w:lineRule="auto"/>
        <w:jc w:val="center"/>
        <w:rPr>
          <w:rFonts w:ascii="Arial" w:hAnsi="Arial" w:cs="Arial"/>
          <w:color w:val="000000" w:themeColor="text1"/>
          <w:kern w:val="0"/>
          <w:sz w:val="24"/>
          <w:szCs w:val="24"/>
          <w:u w:val="single"/>
        </w:rPr>
      </w:pPr>
      <w:r w:rsidRPr="00CC7DE6">
        <w:rPr>
          <w:rFonts w:ascii="Arial" w:hAnsi="Arial" w:cs="Arial"/>
          <w:b/>
          <w:bCs/>
          <w:color w:val="000000" w:themeColor="text1"/>
          <w:kern w:val="0"/>
          <w:sz w:val="24"/>
          <w:szCs w:val="24"/>
          <w:u w:val="single"/>
        </w:rPr>
        <w:t>UNIVERSAL CREDIT</w:t>
      </w:r>
    </w:p>
    <w:p w14:paraId="357B40D1" w14:textId="77777777" w:rsidR="00863417" w:rsidRPr="00CC7DE6" w:rsidRDefault="00863417" w:rsidP="00CC7DE6">
      <w:pPr>
        <w:tabs>
          <w:tab w:val="left" w:pos="-720"/>
        </w:tabs>
        <w:suppressAutoHyphens/>
        <w:spacing w:after="0" w:line="240" w:lineRule="auto"/>
        <w:jc w:val="center"/>
        <w:rPr>
          <w:rFonts w:ascii="Arial" w:hAnsi="Arial" w:cs="Arial"/>
          <w:color w:val="000000" w:themeColor="text1"/>
          <w:kern w:val="0"/>
          <w:sz w:val="24"/>
          <w:szCs w:val="24"/>
        </w:rPr>
      </w:pPr>
    </w:p>
    <w:p w14:paraId="54726180" w14:textId="77777777" w:rsidR="00863417" w:rsidRPr="00CC7DE6" w:rsidRDefault="00863417" w:rsidP="00CC7DE6">
      <w:pPr>
        <w:tabs>
          <w:tab w:val="left" w:pos="-720"/>
        </w:tabs>
        <w:suppressAutoHyphens/>
        <w:spacing w:after="0" w:line="240" w:lineRule="auto"/>
        <w:jc w:val="center"/>
        <w:rPr>
          <w:rFonts w:ascii="Arial" w:hAnsi="Arial" w:cs="Arial"/>
          <w:color w:val="000000" w:themeColor="text1"/>
          <w:kern w:val="0"/>
          <w:sz w:val="24"/>
          <w:szCs w:val="24"/>
        </w:rPr>
      </w:pPr>
    </w:p>
    <w:p w14:paraId="43134198" w14:textId="77777777" w:rsidR="00863417" w:rsidRPr="00CC7DE6" w:rsidRDefault="00863417" w:rsidP="00CC7DE6">
      <w:pPr>
        <w:tabs>
          <w:tab w:val="center" w:pos="4513"/>
        </w:tabs>
        <w:suppressAutoHyphens/>
        <w:spacing w:after="0" w:line="240" w:lineRule="auto"/>
        <w:jc w:val="center"/>
        <w:rPr>
          <w:rFonts w:ascii="Arial" w:hAnsi="Arial" w:cs="Arial"/>
          <w:color w:val="000000" w:themeColor="text1"/>
          <w:kern w:val="0"/>
          <w:sz w:val="24"/>
          <w:szCs w:val="24"/>
        </w:rPr>
      </w:pPr>
      <w:r w:rsidRPr="00CC7DE6">
        <w:rPr>
          <w:rFonts w:ascii="Arial" w:hAnsi="Arial" w:cs="Arial"/>
          <w:color w:val="000000" w:themeColor="text1"/>
          <w:kern w:val="0"/>
          <w:sz w:val="24"/>
          <w:szCs w:val="24"/>
        </w:rPr>
        <w:t>Appeal to a Social Security Commissioner</w:t>
      </w:r>
    </w:p>
    <w:p w14:paraId="54C832BE" w14:textId="77777777" w:rsidR="00863417" w:rsidRPr="00CC7DE6" w:rsidRDefault="00863417" w:rsidP="00CC7DE6">
      <w:pPr>
        <w:tabs>
          <w:tab w:val="center" w:pos="4513"/>
        </w:tabs>
        <w:suppressAutoHyphens/>
        <w:spacing w:after="0" w:line="240" w:lineRule="auto"/>
        <w:jc w:val="center"/>
        <w:rPr>
          <w:rFonts w:ascii="Arial" w:hAnsi="Arial" w:cs="Arial"/>
          <w:color w:val="000000" w:themeColor="text1"/>
          <w:kern w:val="0"/>
          <w:sz w:val="24"/>
          <w:szCs w:val="24"/>
        </w:rPr>
      </w:pPr>
      <w:r w:rsidRPr="00CC7DE6">
        <w:rPr>
          <w:rFonts w:ascii="Arial" w:hAnsi="Arial" w:cs="Arial"/>
          <w:color w:val="000000" w:themeColor="text1"/>
          <w:kern w:val="0"/>
          <w:sz w:val="24"/>
          <w:szCs w:val="24"/>
        </w:rPr>
        <w:t>on a question of law from a Tribunal's decision</w:t>
      </w:r>
    </w:p>
    <w:p w14:paraId="1F4F8AA7" w14:textId="77777777" w:rsidR="00863417" w:rsidRPr="00CC7DE6" w:rsidRDefault="00863417" w:rsidP="00CC7DE6">
      <w:pPr>
        <w:tabs>
          <w:tab w:val="center" w:pos="4513"/>
        </w:tabs>
        <w:suppressAutoHyphens/>
        <w:spacing w:after="0" w:line="240" w:lineRule="auto"/>
        <w:jc w:val="center"/>
        <w:rPr>
          <w:rFonts w:ascii="Arial" w:hAnsi="Arial" w:cs="Arial"/>
          <w:color w:val="000000" w:themeColor="text1"/>
          <w:kern w:val="0"/>
          <w:sz w:val="24"/>
          <w:szCs w:val="24"/>
        </w:rPr>
      </w:pPr>
      <w:r w:rsidRPr="00CC7DE6">
        <w:rPr>
          <w:rFonts w:ascii="Arial" w:hAnsi="Arial" w:cs="Arial"/>
          <w:color w:val="000000" w:themeColor="text1"/>
          <w:kern w:val="0"/>
          <w:sz w:val="24"/>
          <w:szCs w:val="24"/>
        </w:rPr>
        <w:t>dated 6 October 2023</w:t>
      </w:r>
    </w:p>
    <w:p w14:paraId="4986E429" w14:textId="77777777" w:rsidR="00863417" w:rsidRPr="00CC7DE6" w:rsidRDefault="00863417" w:rsidP="00CC7DE6">
      <w:pPr>
        <w:tabs>
          <w:tab w:val="left" w:pos="-720"/>
        </w:tabs>
        <w:suppressAutoHyphens/>
        <w:spacing w:after="0" w:line="240" w:lineRule="auto"/>
        <w:jc w:val="center"/>
        <w:rPr>
          <w:rFonts w:ascii="Arial" w:hAnsi="Arial" w:cs="Arial"/>
          <w:color w:val="000000" w:themeColor="text1"/>
          <w:kern w:val="0"/>
          <w:sz w:val="24"/>
          <w:szCs w:val="24"/>
        </w:rPr>
      </w:pPr>
    </w:p>
    <w:p w14:paraId="56EBDB46" w14:textId="77777777" w:rsidR="00863417" w:rsidRPr="00CC7DE6" w:rsidRDefault="00863417" w:rsidP="00CC7DE6">
      <w:pPr>
        <w:tabs>
          <w:tab w:val="left" w:pos="-720"/>
        </w:tabs>
        <w:suppressAutoHyphens/>
        <w:spacing w:after="0" w:line="240" w:lineRule="auto"/>
        <w:jc w:val="center"/>
        <w:rPr>
          <w:rFonts w:ascii="Arial" w:hAnsi="Arial" w:cs="Arial"/>
          <w:color w:val="000000" w:themeColor="text1"/>
          <w:kern w:val="0"/>
          <w:sz w:val="24"/>
          <w:szCs w:val="24"/>
        </w:rPr>
      </w:pPr>
    </w:p>
    <w:p w14:paraId="3147F93A" w14:textId="77777777" w:rsidR="00863417" w:rsidRPr="00CC7DE6" w:rsidRDefault="00863417" w:rsidP="00CC7DE6">
      <w:pPr>
        <w:tabs>
          <w:tab w:val="center" w:pos="4513"/>
        </w:tabs>
        <w:suppressAutoHyphens/>
        <w:spacing w:after="0" w:line="240" w:lineRule="auto"/>
        <w:jc w:val="center"/>
        <w:rPr>
          <w:rFonts w:ascii="Arial" w:hAnsi="Arial" w:cs="Arial"/>
          <w:color w:val="000000" w:themeColor="text1"/>
          <w:kern w:val="0"/>
          <w:sz w:val="24"/>
          <w:szCs w:val="24"/>
          <w:u w:val="single"/>
        </w:rPr>
      </w:pPr>
      <w:r w:rsidRPr="00CC7DE6">
        <w:rPr>
          <w:rFonts w:ascii="Arial" w:hAnsi="Arial" w:cs="Arial"/>
          <w:color w:val="000000" w:themeColor="text1"/>
          <w:kern w:val="0"/>
          <w:sz w:val="24"/>
          <w:szCs w:val="24"/>
          <w:u w:val="single"/>
        </w:rPr>
        <w:t>DECISION OF THE SOCIAL SECURITY COMMISSIONER</w:t>
      </w:r>
    </w:p>
    <w:p w14:paraId="3130F605" w14:textId="77777777" w:rsidR="00863417" w:rsidRPr="00CC7DE6" w:rsidRDefault="00863417" w:rsidP="00CC7DE6">
      <w:pPr>
        <w:spacing w:after="0" w:line="240" w:lineRule="auto"/>
        <w:jc w:val="both"/>
        <w:rPr>
          <w:rFonts w:ascii="Arial" w:hAnsi="Arial" w:cs="Arial"/>
          <w:bCs/>
          <w:color w:val="000000" w:themeColor="text1"/>
          <w:kern w:val="0"/>
          <w:sz w:val="24"/>
          <w:szCs w:val="24"/>
        </w:rPr>
      </w:pPr>
    </w:p>
    <w:p w14:paraId="3E5AF063" w14:textId="77777777" w:rsidR="0020334F" w:rsidRPr="00CC7DE6" w:rsidRDefault="0020334F" w:rsidP="00CC7DE6">
      <w:pPr>
        <w:spacing w:after="0" w:line="240" w:lineRule="auto"/>
        <w:rPr>
          <w:rFonts w:ascii="Arial" w:hAnsi="Arial" w:cs="Arial"/>
          <w:color w:val="000000" w:themeColor="text1"/>
          <w:sz w:val="24"/>
          <w:szCs w:val="24"/>
        </w:rPr>
      </w:pPr>
    </w:p>
    <w:p w14:paraId="41C4E63F" w14:textId="77F27B95" w:rsidR="00863417" w:rsidRPr="00ED129D" w:rsidRDefault="00ED129D" w:rsidP="00ED129D">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sidRPr="00ED129D">
        <w:rPr>
          <w:rFonts w:ascii="Arial" w:hAnsi="Arial" w:cs="Arial"/>
          <w:color w:val="000000" w:themeColor="text1"/>
          <w:sz w:val="24"/>
          <w:szCs w:val="24"/>
        </w:rPr>
        <w:t>1.</w:t>
      </w:r>
      <w:r>
        <w:rPr>
          <w:rFonts w:ascii="Arial" w:hAnsi="Arial" w:cs="Arial"/>
          <w:color w:val="000000" w:themeColor="text1"/>
          <w:sz w:val="24"/>
          <w:szCs w:val="24"/>
        </w:rPr>
        <w:tab/>
      </w:r>
      <w:r w:rsidR="0020334F" w:rsidRPr="00ED129D">
        <w:rPr>
          <w:rFonts w:ascii="Arial" w:hAnsi="Arial" w:cs="Arial"/>
          <w:color w:val="000000" w:themeColor="text1"/>
          <w:sz w:val="24"/>
          <w:szCs w:val="24"/>
        </w:rPr>
        <w:t>This is a</w:t>
      </w:r>
      <w:r w:rsidR="00674E2F" w:rsidRPr="00ED129D">
        <w:rPr>
          <w:rFonts w:ascii="Arial" w:hAnsi="Arial" w:cs="Arial"/>
          <w:color w:val="000000" w:themeColor="text1"/>
          <w:sz w:val="24"/>
          <w:szCs w:val="24"/>
        </w:rPr>
        <w:t xml:space="preserve">n </w:t>
      </w:r>
      <w:r w:rsidR="0020334F" w:rsidRPr="00ED129D">
        <w:rPr>
          <w:rFonts w:ascii="Arial" w:hAnsi="Arial" w:cs="Arial"/>
          <w:color w:val="000000" w:themeColor="text1"/>
          <w:sz w:val="24"/>
          <w:szCs w:val="24"/>
        </w:rPr>
        <w:t xml:space="preserve">appeal </w:t>
      </w:r>
      <w:r w:rsidR="00674E2F" w:rsidRPr="00ED129D">
        <w:rPr>
          <w:rFonts w:ascii="Arial" w:hAnsi="Arial" w:cs="Arial"/>
          <w:color w:val="000000" w:themeColor="text1"/>
          <w:sz w:val="24"/>
          <w:szCs w:val="24"/>
        </w:rPr>
        <w:t xml:space="preserve">and an application for leave to appeal </w:t>
      </w:r>
      <w:r w:rsidR="0020334F" w:rsidRPr="00ED129D">
        <w:rPr>
          <w:rFonts w:ascii="Arial" w:hAnsi="Arial" w:cs="Arial"/>
          <w:color w:val="000000" w:themeColor="text1"/>
          <w:sz w:val="24"/>
          <w:szCs w:val="24"/>
        </w:rPr>
        <w:t xml:space="preserve">from the decision of a tribunal with reference </w:t>
      </w:r>
      <w:r w:rsidR="00C65255" w:rsidRPr="00ED129D">
        <w:rPr>
          <w:rFonts w:ascii="Arial" w:hAnsi="Arial" w:cs="Arial"/>
          <w:color w:val="000000" w:themeColor="text1"/>
          <w:sz w:val="24"/>
          <w:szCs w:val="24"/>
        </w:rPr>
        <w:t>NS</w:t>
      </w:r>
      <w:r w:rsidR="0020334F" w:rsidRPr="00ED129D">
        <w:rPr>
          <w:rFonts w:ascii="Arial" w:hAnsi="Arial" w:cs="Arial"/>
          <w:color w:val="000000" w:themeColor="text1"/>
          <w:sz w:val="24"/>
          <w:szCs w:val="24"/>
        </w:rPr>
        <w:t>/</w:t>
      </w:r>
      <w:r w:rsidR="00C65255" w:rsidRPr="00ED129D">
        <w:rPr>
          <w:rFonts w:ascii="Arial" w:hAnsi="Arial" w:cs="Arial"/>
          <w:color w:val="000000" w:themeColor="text1"/>
          <w:sz w:val="24"/>
          <w:szCs w:val="24"/>
        </w:rPr>
        <w:t>13315</w:t>
      </w:r>
      <w:r w:rsidR="0020334F" w:rsidRPr="00ED129D">
        <w:rPr>
          <w:rFonts w:ascii="Arial" w:hAnsi="Arial" w:cs="Arial"/>
          <w:color w:val="000000" w:themeColor="text1"/>
          <w:sz w:val="24"/>
          <w:szCs w:val="24"/>
        </w:rPr>
        <w:t>/</w:t>
      </w:r>
      <w:r w:rsidR="00C65255" w:rsidRPr="00ED129D">
        <w:rPr>
          <w:rFonts w:ascii="Arial" w:hAnsi="Arial" w:cs="Arial"/>
          <w:color w:val="000000" w:themeColor="text1"/>
          <w:sz w:val="24"/>
          <w:szCs w:val="24"/>
        </w:rPr>
        <w:t>22</w:t>
      </w:r>
      <w:r w:rsidR="0020334F" w:rsidRPr="00ED129D">
        <w:rPr>
          <w:rFonts w:ascii="Arial" w:hAnsi="Arial" w:cs="Arial"/>
          <w:color w:val="000000" w:themeColor="text1"/>
          <w:sz w:val="24"/>
          <w:szCs w:val="24"/>
        </w:rPr>
        <w:t>/</w:t>
      </w:r>
      <w:r w:rsidR="00C65255" w:rsidRPr="00ED129D">
        <w:rPr>
          <w:rFonts w:ascii="Arial" w:hAnsi="Arial" w:cs="Arial"/>
          <w:color w:val="000000" w:themeColor="text1"/>
          <w:sz w:val="24"/>
          <w:szCs w:val="24"/>
        </w:rPr>
        <w:t>05</w:t>
      </w:r>
      <w:r w:rsidR="0020334F" w:rsidRPr="00ED129D">
        <w:rPr>
          <w:rFonts w:ascii="Arial" w:hAnsi="Arial" w:cs="Arial"/>
          <w:color w:val="000000" w:themeColor="text1"/>
          <w:sz w:val="24"/>
          <w:szCs w:val="24"/>
        </w:rPr>
        <w:t>/</w:t>
      </w:r>
      <w:r w:rsidR="00C65255" w:rsidRPr="00ED129D">
        <w:rPr>
          <w:rFonts w:ascii="Arial" w:hAnsi="Arial" w:cs="Arial"/>
          <w:color w:val="000000" w:themeColor="text1"/>
          <w:sz w:val="24"/>
          <w:szCs w:val="24"/>
        </w:rPr>
        <w:t>U</w:t>
      </w:r>
      <w:r w:rsidR="0020334F" w:rsidRPr="00ED129D">
        <w:rPr>
          <w:rFonts w:ascii="Arial" w:hAnsi="Arial" w:cs="Arial"/>
          <w:color w:val="000000" w:themeColor="text1"/>
          <w:sz w:val="24"/>
          <w:szCs w:val="24"/>
        </w:rPr>
        <w:t>.</w:t>
      </w:r>
    </w:p>
    <w:p w14:paraId="39C1E863" w14:textId="77777777" w:rsidR="00863417" w:rsidRPr="00CC7DE6" w:rsidRDefault="00863417" w:rsidP="00ED129D">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5EFCEE36" w14:textId="3FC9B99A" w:rsidR="0020334F" w:rsidRPr="00CC7DE6" w:rsidRDefault="00ED129D" w:rsidP="001B4A2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20334F" w:rsidRPr="00CC7DE6">
        <w:rPr>
          <w:rFonts w:ascii="Arial" w:hAnsi="Arial" w:cs="Arial"/>
          <w:color w:val="000000" w:themeColor="text1"/>
          <w:sz w:val="24"/>
          <w:szCs w:val="24"/>
        </w:rPr>
        <w:t xml:space="preserve">For the reasons I give below, I </w:t>
      </w:r>
      <w:r w:rsidR="00C40C97" w:rsidRPr="00CC7DE6">
        <w:rPr>
          <w:rFonts w:ascii="Arial" w:hAnsi="Arial" w:cs="Arial"/>
          <w:color w:val="000000" w:themeColor="text1"/>
          <w:sz w:val="24"/>
          <w:szCs w:val="24"/>
        </w:rPr>
        <w:t>allow the appeal</w:t>
      </w:r>
      <w:r w:rsidR="00674E2F" w:rsidRPr="00CC7DE6">
        <w:rPr>
          <w:rFonts w:ascii="Arial" w:hAnsi="Arial" w:cs="Arial"/>
          <w:color w:val="000000" w:themeColor="text1"/>
          <w:sz w:val="24"/>
          <w:szCs w:val="24"/>
        </w:rPr>
        <w:t>.</w:t>
      </w:r>
      <w:r>
        <w:rPr>
          <w:rFonts w:ascii="Arial" w:hAnsi="Arial" w:cs="Arial"/>
          <w:color w:val="000000" w:themeColor="text1"/>
          <w:sz w:val="24"/>
          <w:szCs w:val="24"/>
        </w:rPr>
        <w:t xml:space="preserve"> </w:t>
      </w:r>
      <w:r w:rsidR="00674E2F" w:rsidRPr="00CC7DE6">
        <w:rPr>
          <w:rFonts w:ascii="Arial" w:hAnsi="Arial" w:cs="Arial"/>
          <w:color w:val="000000" w:themeColor="text1"/>
          <w:sz w:val="24"/>
          <w:szCs w:val="24"/>
        </w:rPr>
        <w:t xml:space="preserve"> </w:t>
      </w:r>
      <w:r w:rsidR="00C40C97" w:rsidRPr="00CC7DE6">
        <w:rPr>
          <w:rFonts w:ascii="Arial" w:hAnsi="Arial" w:cs="Arial"/>
          <w:color w:val="000000" w:themeColor="text1"/>
          <w:sz w:val="24"/>
          <w:szCs w:val="24"/>
        </w:rPr>
        <w:t>I set aside the decision of the appeal tribunal under Article 15(8)(b) of the Social Security (NI) Order 1998.</w:t>
      </w:r>
      <w:r>
        <w:rPr>
          <w:rFonts w:ascii="Arial" w:hAnsi="Arial" w:cs="Arial"/>
          <w:color w:val="000000" w:themeColor="text1"/>
          <w:sz w:val="24"/>
          <w:szCs w:val="24"/>
        </w:rPr>
        <w:t xml:space="preserve"> </w:t>
      </w:r>
      <w:r w:rsidR="00C40C97" w:rsidRPr="00CC7DE6">
        <w:rPr>
          <w:rFonts w:ascii="Arial" w:hAnsi="Arial" w:cs="Arial"/>
          <w:color w:val="000000" w:themeColor="text1"/>
          <w:sz w:val="24"/>
          <w:szCs w:val="24"/>
        </w:rPr>
        <w:t xml:space="preserve"> I refer the appeal to a newly constituted tribunal for determination in accordance with the directions I have given below.</w:t>
      </w:r>
    </w:p>
    <w:p w14:paraId="284B7C10" w14:textId="77777777" w:rsidR="0048613A" w:rsidRPr="00CC7DE6" w:rsidRDefault="0048613A" w:rsidP="00BE79AE">
      <w:pPr>
        <w:tabs>
          <w:tab w:val="left" w:pos="510"/>
          <w:tab w:val="left" w:pos="1077"/>
          <w:tab w:val="left" w:pos="1797"/>
        </w:tabs>
        <w:spacing w:after="0" w:line="240" w:lineRule="auto"/>
        <w:rPr>
          <w:rFonts w:ascii="Arial" w:hAnsi="Arial" w:cs="Arial"/>
          <w:color w:val="000000" w:themeColor="text1"/>
          <w:sz w:val="24"/>
          <w:szCs w:val="24"/>
        </w:rPr>
      </w:pPr>
    </w:p>
    <w:p w14:paraId="72E3419C" w14:textId="77777777" w:rsidR="0020334F" w:rsidRPr="00CC7DE6" w:rsidRDefault="0020334F" w:rsidP="00BE79AE">
      <w:pPr>
        <w:tabs>
          <w:tab w:val="left" w:pos="510"/>
          <w:tab w:val="left" w:pos="1077"/>
          <w:tab w:val="left" w:pos="1797"/>
        </w:tabs>
        <w:spacing w:after="0" w:line="240" w:lineRule="auto"/>
        <w:jc w:val="center"/>
        <w:rPr>
          <w:rFonts w:ascii="Arial" w:hAnsi="Arial" w:cs="Arial"/>
          <w:b/>
          <w:bCs/>
          <w:color w:val="000000" w:themeColor="text1"/>
          <w:sz w:val="24"/>
          <w:szCs w:val="24"/>
          <w:u w:val="single"/>
        </w:rPr>
      </w:pPr>
      <w:r w:rsidRPr="00CC7DE6">
        <w:rPr>
          <w:rFonts w:ascii="Arial" w:hAnsi="Arial" w:cs="Arial"/>
          <w:b/>
          <w:bCs/>
          <w:color w:val="000000" w:themeColor="text1"/>
          <w:sz w:val="24"/>
          <w:szCs w:val="24"/>
          <w:u w:val="single"/>
        </w:rPr>
        <w:t>REASONS</w:t>
      </w:r>
    </w:p>
    <w:p w14:paraId="1358E8AC" w14:textId="77777777" w:rsidR="0020334F" w:rsidRPr="00CC7DE6" w:rsidRDefault="0020334F" w:rsidP="00BE79AE">
      <w:pPr>
        <w:tabs>
          <w:tab w:val="left" w:pos="510"/>
          <w:tab w:val="left" w:pos="1077"/>
          <w:tab w:val="left" w:pos="1797"/>
        </w:tabs>
        <w:spacing w:after="0" w:line="240" w:lineRule="auto"/>
        <w:rPr>
          <w:rFonts w:ascii="Arial" w:hAnsi="Arial" w:cs="Arial"/>
          <w:color w:val="000000" w:themeColor="text1"/>
          <w:sz w:val="24"/>
          <w:szCs w:val="24"/>
        </w:rPr>
      </w:pPr>
    </w:p>
    <w:p w14:paraId="54E2D0A5" w14:textId="26D3A137" w:rsidR="00863417" w:rsidRPr="00CC7DE6" w:rsidRDefault="00911CAF" w:rsidP="00911CAF">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0A6C65" w:rsidRPr="00CC7DE6">
        <w:rPr>
          <w:rFonts w:ascii="Arial" w:hAnsi="Arial" w:cs="Arial"/>
          <w:color w:val="000000" w:themeColor="text1"/>
          <w:sz w:val="24"/>
          <w:szCs w:val="24"/>
        </w:rPr>
        <w:t xml:space="preserve">The issue in this case is whether the tribunal </w:t>
      </w:r>
      <w:r w:rsidR="00674E2F" w:rsidRPr="00CC7DE6">
        <w:rPr>
          <w:rFonts w:ascii="Arial" w:hAnsi="Arial" w:cs="Arial"/>
          <w:color w:val="000000" w:themeColor="text1"/>
          <w:sz w:val="24"/>
          <w:szCs w:val="24"/>
        </w:rPr>
        <w:t xml:space="preserve">erred in law when </w:t>
      </w:r>
      <w:r w:rsidR="000A6C65" w:rsidRPr="00CC7DE6">
        <w:rPr>
          <w:rFonts w:ascii="Arial" w:hAnsi="Arial" w:cs="Arial"/>
          <w:color w:val="000000" w:themeColor="text1"/>
          <w:sz w:val="24"/>
          <w:szCs w:val="24"/>
        </w:rPr>
        <w:t>considerin</w:t>
      </w:r>
      <w:r w:rsidR="00674E2F" w:rsidRPr="00CC7DE6">
        <w:rPr>
          <w:rFonts w:ascii="Arial" w:hAnsi="Arial" w:cs="Arial"/>
          <w:color w:val="000000" w:themeColor="text1"/>
          <w:sz w:val="24"/>
          <w:szCs w:val="24"/>
        </w:rPr>
        <w:t>g</w:t>
      </w:r>
      <w:r w:rsidR="000A6C65" w:rsidRPr="00CC7DE6">
        <w:rPr>
          <w:rFonts w:ascii="Arial" w:hAnsi="Arial" w:cs="Arial"/>
          <w:color w:val="000000" w:themeColor="text1"/>
          <w:sz w:val="24"/>
          <w:szCs w:val="24"/>
        </w:rPr>
        <w:t xml:space="preserve"> the question</w:t>
      </w:r>
      <w:r w:rsidR="00674E2F" w:rsidRPr="00CC7DE6">
        <w:rPr>
          <w:rFonts w:ascii="Arial" w:hAnsi="Arial" w:cs="Arial"/>
          <w:color w:val="000000" w:themeColor="text1"/>
          <w:sz w:val="24"/>
          <w:szCs w:val="24"/>
        </w:rPr>
        <w:t>s</w:t>
      </w:r>
      <w:r w:rsidR="000A6C65" w:rsidRPr="00CC7DE6">
        <w:rPr>
          <w:rFonts w:ascii="Arial" w:hAnsi="Arial" w:cs="Arial"/>
          <w:color w:val="000000" w:themeColor="text1"/>
          <w:sz w:val="24"/>
          <w:szCs w:val="24"/>
        </w:rPr>
        <w:t xml:space="preserve"> of whether the appellant had – or </w:t>
      </w:r>
      <w:r w:rsidR="00156DDE" w:rsidRPr="00CC7DE6">
        <w:rPr>
          <w:rFonts w:ascii="Arial" w:hAnsi="Arial" w:cs="Arial"/>
          <w:color w:val="000000" w:themeColor="text1"/>
          <w:sz w:val="24"/>
          <w:szCs w:val="24"/>
        </w:rPr>
        <w:t>was to</w:t>
      </w:r>
      <w:r w:rsidR="000A6C65" w:rsidRPr="00CC7DE6">
        <w:rPr>
          <w:rFonts w:ascii="Arial" w:hAnsi="Arial" w:cs="Arial"/>
          <w:color w:val="000000" w:themeColor="text1"/>
          <w:sz w:val="24"/>
          <w:szCs w:val="24"/>
        </w:rPr>
        <w:t xml:space="preserve"> be treated as having – limited capability for work </w:t>
      </w:r>
      <w:r w:rsidR="00674E2F" w:rsidRPr="00CC7DE6">
        <w:rPr>
          <w:rFonts w:ascii="Arial" w:hAnsi="Arial" w:cs="Arial"/>
          <w:color w:val="000000" w:themeColor="text1"/>
          <w:sz w:val="24"/>
          <w:szCs w:val="24"/>
        </w:rPr>
        <w:t>and work-</w:t>
      </w:r>
      <w:r w:rsidR="000A6C65" w:rsidRPr="00CC7DE6">
        <w:rPr>
          <w:rFonts w:ascii="Arial" w:hAnsi="Arial" w:cs="Arial"/>
          <w:color w:val="000000" w:themeColor="text1"/>
          <w:sz w:val="24"/>
          <w:szCs w:val="24"/>
        </w:rPr>
        <w:t>related activity.</w:t>
      </w:r>
    </w:p>
    <w:p w14:paraId="1C6B32B2" w14:textId="77777777" w:rsidR="00863417" w:rsidRPr="00CC7DE6" w:rsidRDefault="00863417" w:rsidP="00BE79AE">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57848797" w14:textId="1FDC7A13" w:rsidR="00863417" w:rsidRPr="00CC7DE6" w:rsidRDefault="00911CAF" w:rsidP="00BE79AE">
      <w:pPr>
        <w:tabs>
          <w:tab w:val="left" w:pos="510"/>
          <w:tab w:val="left" w:pos="567"/>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20334F" w:rsidRPr="00CC7DE6">
        <w:rPr>
          <w:rFonts w:ascii="Arial" w:hAnsi="Arial" w:cs="Arial"/>
          <w:b/>
          <w:color w:val="000000" w:themeColor="text1"/>
          <w:sz w:val="24"/>
          <w:szCs w:val="24"/>
        </w:rPr>
        <w:t>Background</w:t>
      </w:r>
    </w:p>
    <w:p w14:paraId="12529D26" w14:textId="77777777" w:rsidR="00863417" w:rsidRPr="00CC7DE6" w:rsidRDefault="00863417" w:rsidP="00BE79AE">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066386DC" w14:textId="71DE692B" w:rsidR="0009475F" w:rsidRPr="00CC7DE6" w:rsidRDefault="00911CAF" w:rsidP="001B4A2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r>
      <w:r w:rsidR="0020334F" w:rsidRPr="00CC7DE6">
        <w:rPr>
          <w:rFonts w:ascii="Arial" w:hAnsi="Arial" w:cs="Arial"/>
          <w:color w:val="000000" w:themeColor="text1"/>
          <w:sz w:val="24"/>
          <w:szCs w:val="24"/>
        </w:rPr>
        <w:t xml:space="preserve">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had </w:t>
      </w:r>
      <w:r w:rsidR="00FD53DC" w:rsidRPr="00CC7DE6">
        <w:rPr>
          <w:rFonts w:ascii="Arial" w:hAnsi="Arial" w:cs="Arial"/>
          <w:color w:val="000000" w:themeColor="text1"/>
          <w:sz w:val="24"/>
          <w:szCs w:val="24"/>
        </w:rPr>
        <w:t>been awarded</w:t>
      </w:r>
      <w:r w:rsidR="0020334F" w:rsidRPr="00CC7DE6">
        <w:rPr>
          <w:rFonts w:ascii="Arial" w:hAnsi="Arial" w:cs="Arial"/>
          <w:color w:val="000000" w:themeColor="text1"/>
          <w:sz w:val="24"/>
          <w:szCs w:val="24"/>
        </w:rPr>
        <w:t xml:space="preserve"> universal credit (UC) </w:t>
      </w:r>
      <w:r w:rsidR="00FD53DC" w:rsidRPr="00CC7DE6">
        <w:rPr>
          <w:rFonts w:ascii="Arial" w:hAnsi="Arial" w:cs="Arial"/>
          <w:color w:val="000000" w:themeColor="text1"/>
          <w:sz w:val="24"/>
          <w:szCs w:val="24"/>
        </w:rPr>
        <w:t>by</w:t>
      </w:r>
      <w:r w:rsidR="0020334F" w:rsidRPr="00CC7DE6">
        <w:rPr>
          <w:rFonts w:ascii="Arial" w:hAnsi="Arial" w:cs="Arial"/>
          <w:color w:val="000000" w:themeColor="text1"/>
          <w:sz w:val="24"/>
          <w:szCs w:val="24"/>
        </w:rPr>
        <w:t xml:space="preserve"> the Department for Communities (the Department) </w:t>
      </w:r>
      <w:r w:rsidR="00FD53DC" w:rsidRPr="00CC7DE6">
        <w:rPr>
          <w:rFonts w:ascii="Arial" w:hAnsi="Arial" w:cs="Arial"/>
          <w:color w:val="000000" w:themeColor="text1"/>
          <w:sz w:val="24"/>
          <w:szCs w:val="24"/>
        </w:rPr>
        <w:t>from 2 October 2019</w:t>
      </w:r>
      <w:r w:rsidR="0020334F"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On </w:t>
      </w:r>
      <w:r w:rsidR="000A2FD4" w:rsidRPr="00CC7DE6">
        <w:rPr>
          <w:rFonts w:ascii="Arial" w:hAnsi="Arial" w:cs="Arial"/>
          <w:color w:val="000000" w:themeColor="text1"/>
          <w:sz w:val="24"/>
          <w:szCs w:val="24"/>
        </w:rPr>
        <w:t>8</w:t>
      </w:r>
      <w:r w:rsidR="00FD53DC" w:rsidRPr="00CC7DE6">
        <w:rPr>
          <w:rFonts w:ascii="Arial" w:hAnsi="Arial" w:cs="Arial"/>
          <w:color w:val="000000" w:themeColor="text1"/>
          <w:sz w:val="24"/>
          <w:szCs w:val="24"/>
        </w:rPr>
        <w:t xml:space="preserve"> August 2022 he </w:t>
      </w:r>
      <w:r w:rsidR="0020334F" w:rsidRPr="00CC7DE6">
        <w:rPr>
          <w:rFonts w:ascii="Arial" w:hAnsi="Arial" w:cs="Arial"/>
          <w:color w:val="000000" w:themeColor="text1"/>
          <w:sz w:val="24"/>
          <w:szCs w:val="24"/>
        </w:rPr>
        <w:t>returned a UC50 questionnaire to the Department answering questions about his</w:t>
      </w:r>
      <w:r w:rsidR="00FD53DC" w:rsidRPr="00CC7DE6">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capacity to perform certain activities.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attended a medical examination with a healthcare professional (HCP) and the Department received a copy of the HCP’s report on </w:t>
      </w:r>
      <w:r w:rsidR="00FD53DC" w:rsidRPr="00CC7DE6">
        <w:rPr>
          <w:rFonts w:ascii="Arial" w:hAnsi="Arial" w:cs="Arial"/>
          <w:color w:val="000000" w:themeColor="text1"/>
          <w:sz w:val="24"/>
          <w:szCs w:val="24"/>
        </w:rPr>
        <w:t>2 September</w:t>
      </w:r>
      <w:r w:rsidR="000A2FD4" w:rsidRPr="00CC7DE6">
        <w:rPr>
          <w:rFonts w:ascii="Arial" w:hAnsi="Arial" w:cs="Arial"/>
          <w:color w:val="000000" w:themeColor="text1"/>
          <w:sz w:val="24"/>
          <w:szCs w:val="24"/>
        </w:rPr>
        <w:t xml:space="preserve"> </w:t>
      </w:r>
      <w:r w:rsidR="00FD53DC" w:rsidRPr="00CC7DE6">
        <w:rPr>
          <w:rFonts w:ascii="Arial" w:hAnsi="Arial" w:cs="Arial"/>
          <w:color w:val="000000" w:themeColor="text1"/>
          <w:sz w:val="24"/>
          <w:szCs w:val="24"/>
        </w:rPr>
        <w:t>2022</w:t>
      </w:r>
      <w:r w:rsidR="0020334F"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On </w:t>
      </w:r>
      <w:r w:rsidR="000A2FD4" w:rsidRPr="00CC7DE6">
        <w:rPr>
          <w:rFonts w:ascii="Arial" w:hAnsi="Arial" w:cs="Arial"/>
          <w:color w:val="000000" w:themeColor="text1"/>
          <w:sz w:val="24"/>
          <w:szCs w:val="24"/>
        </w:rPr>
        <w:t xml:space="preserve">13 September 2022 </w:t>
      </w:r>
      <w:r w:rsidR="0020334F" w:rsidRPr="00CC7DE6">
        <w:rPr>
          <w:rFonts w:ascii="Arial" w:hAnsi="Arial" w:cs="Arial"/>
          <w:color w:val="000000" w:themeColor="text1"/>
          <w:sz w:val="24"/>
          <w:szCs w:val="24"/>
        </w:rPr>
        <w:t xml:space="preserve">the Department decided </w:t>
      </w:r>
      <w:proofErr w:type="gramStart"/>
      <w:r w:rsidR="0020334F" w:rsidRPr="00CC7DE6">
        <w:rPr>
          <w:rFonts w:ascii="Arial" w:hAnsi="Arial" w:cs="Arial"/>
          <w:color w:val="000000" w:themeColor="text1"/>
          <w:sz w:val="24"/>
          <w:szCs w:val="24"/>
        </w:rPr>
        <w:t>on the basis of</w:t>
      </w:r>
      <w:proofErr w:type="gramEnd"/>
      <w:r w:rsidR="0020334F" w:rsidRPr="00CC7DE6">
        <w:rPr>
          <w:rFonts w:ascii="Arial" w:hAnsi="Arial" w:cs="Arial"/>
          <w:color w:val="000000" w:themeColor="text1"/>
          <w:sz w:val="24"/>
          <w:szCs w:val="24"/>
        </w:rPr>
        <w:t xml:space="preserve"> all the evidence that 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did </w:t>
      </w:r>
      <w:r w:rsidR="000A2FD4" w:rsidRPr="00CC7DE6">
        <w:rPr>
          <w:rFonts w:ascii="Arial" w:hAnsi="Arial" w:cs="Arial"/>
          <w:color w:val="000000" w:themeColor="text1"/>
          <w:sz w:val="24"/>
          <w:szCs w:val="24"/>
        </w:rPr>
        <w:t>n</w:t>
      </w:r>
      <w:r w:rsidR="0020334F" w:rsidRPr="00CC7DE6">
        <w:rPr>
          <w:rFonts w:ascii="Arial" w:hAnsi="Arial" w:cs="Arial"/>
          <w:color w:val="000000" w:themeColor="text1"/>
          <w:sz w:val="24"/>
          <w:szCs w:val="24"/>
        </w:rPr>
        <w:t xml:space="preserve">ot have limited capability for work.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requested a reconsideration, submitting </w:t>
      </w:r>
      <w:r w:rsidR="00674E2F" w:rsidRPr="00CC7DE6">
        <w:rPr>
          <w:rFonts w:ascii="Arial" w:hAnsi="Arial" w:cs="Arial"/>
          <w:color w:val="000000" w:themeColor="text1"/>
          <w:sz w:val="24"/>
          <w:szCs w:val="24"/>
        </w:rPr>
        <w:t>f</w:t>
      </w:r>
      <w:r w:rsidR="000A2FD4" w:rsidRPr="00CC7DE6">
        <w:rPr>
          <w:rFonts w:ascii="Arial" w:hAnsi="Arial" w:cs="Arial"/>
          <w:color w:val="000000" w:themeColor="text1"/>
          <w:sz w:val="24"/>
          <w:szCs w:val="24"/>
        </w:rPr>
        <w:t>urther information</w:t>
      </w:r>
      <w:r w:rsidR="0020334F" w:rsidRPr="00CC7DE6">
        <w:rPr>
          <w:rFonts w:ascii="Arial" w:hAnsi="Arial" w:cs="Arial"/>
          <w:color w:val="000000" w:themeColor="text1"/>
          <w:sz w:val="24"/>
          <w:szCs w:val="24"/>
        </w:rPr>
        <w:t>.</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 On </w:t>
      </w:r>
      <w:r w:rsidR="000A2FD4" w:rsidRPr="00CC7DE6">
        <w:rPr>
          <w:rFonts w:ascii="Arial" w:hAnsi="Arial" w:cs="Arial"/>
          <w:color w:val="000000" w:themeColor="text1"/>
          <w:sz w:val="24"/>
          <w:szCs w:val="24"/>
        </w:rPr>
        <w:t xml:space="preserve">3 November 2022 </w:t>
      </w:r>
      <w:r w:rsidR="0020334F" w:rsidRPr="00CC7DE6">
        <w:rPr>
          <w:rFonts w:ascii="Arial" w:hAnsi="Arial" w:cs="Arial"/>
          <w:color w:val="000000" w:themeColor="text1"/>
          <w:sz w:val="24"/>
          <w:szCs w:val="24"/>
        </w:rPr>
        <w:t>the decision was reconsidered by the Department but not revised.</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 The </w:t>
      </w:r>
      <w:r w:rsidR="00B83499"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appealed.</w:t>
      </w:r>
    </w:p>
    <w:p w14:paraId="33396769" w14:textId="77777777" w:rsidR="0009475F" w:rsidRPr="00CC7DE6" w:rsidRDefault="0009475F" w:rsidP="001B4A2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C40F78B" w14:textId="3FF6D8E5" w:rsidR="0009475F" w:rsidRPr="00CC7DE6" w:rsidRDefault="00911CAF" w:rsidP="001B4A23">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20334F" w:rsidRPr="00CC7DE6">
        <w:rPr>
          <w:rFonts w:ascii="Arial" w:hAnsi="Arial" w:cs="Arial"/>
          <w:color w:val="000000" w:themeColor="text1"/>
          <w:sz w:val="24"/>
          <w:szCs w:val="24"/>
        </w:rPr>
        <w:t xml:space="preserve">The appeal was considered by a tribunal consisting of a legally qualified member (LQM) </w:t>
      </w:r>
      <w:r w:rsidR="00674E2F" w:rsidRPr="00CC7DE6">
        <w:rPr>
          <w:rFonts w:ascii="Arial" w:hAnsi="Arial" w:cs="Arial"/>
          <w:color w:val="000000" w:themeColor="text1"/>
          <w:sz w:val="24"/>
          <w:szCs w:val="24"/>
        </w:rPr>
        <w:t xml:space="preserve">and </w:t>
      </w:r>
      <w:r w:rsidR="0020334F" w:rsidRPr="00CC7DE6">
        <w:rPr>
          <w:rFonts w:ascii="Arial" w:hAnsi="Arial" w:cs="Arial"/>
          <w:color w:val="000000" w:themeColor="text1"/>
          <w:sz w:val="24"/>
          <w:szCs w:val="24"/>
        </w:rPr>
        <w:t>a medical</w:t>
      </w:r>
      <w:r w:rsidR="00674E2F" w:rsidRPr="00CC7DE6">
        <w:rPr>
          <w:rFonts w:ascii="Arial" w:hAnsi="Arial" w:cs="Arial"/>
          <w:color w:val="000000" w:themeColor="text1"/>
          <w:sz w:val="24"/>
          <w:szCs w:val="24"/>
        </w:rPr>
        <w:t>ly qualified</w:t>
      </w:r>
      <w:r w:rsidR="0020334F" w:rsidRPr="00CC7DE6">
        <w:rPr>
          <w:rFonts w:ascii="Arial" w:hAnsi="Arial" w:cs="Arial"/>
          <w:color w:val="000000" w:themeColor="text1"/>
          <w:sz w:val="24"/>
          <w:szCs w:val="24"/>
        </w:rPr>
        <w:t xml:space="preserve"> member.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The tribunal allowed the appeal</w:t>
      </w:r>
      <w:r w:rsidR="000A2FD4" w:rsidRPr="00CC7DE6">
        <w:rPr>
          <w:rFonts w:ascii="Arial" w:hAnsi="Arial" w:cs="Arial"/>
          <w:color w:val="000000" w:themeColor="text1"/>
          <w:sz w:val="24"/>
          <w:szCs w:val="24"/>
        </w:rPr>
        <w:t>, finding that the appellant had limited capability for work</w:t>
      </w:r>
      <w:r w:rsidR="006E0459"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6E0459" w:rsidRPr="00CC7DE6">
        <w:rPr>
          <w:rFonts w:ascii="Arial" w:hAnsi="Arial" w:cs="Arial"/>
          <w:color w:val="000000" w:themeColor="text1"/>
          <w:sz w:val="24"/>
          <w:szCs w:val="24"/>
        </w:rPr>
        <w:t>However, it decided that he did</w:t>
      </w:r>
      <w:r w:rsidR="000A2FD4" w:rsidRPr="00CC7DE6">
        <w:rPr>
          <w:rFonts w:ascii="Arial" w:hAnsi="Arial" w:cs="Arial"/>
          <w:color w:val="000000" w:themeColor="text1"/>
          <w:sz w:val="24"/>
          <w:szCs w:val="24"/>
        </w:rPr>
        <w:t xml:space="preserve"> not </w:t>
      </w:r>
      <w:r w:rsidR="006E0459" w:rsidRPr="00CC7DE6">
        <w:rPr>
          <w:rFonts w:ascii="Arial" w:hAnsi="Arial" w:cs="Arial"/>
          <w:color w:val="000000" w:themeColor="text1"/>
          <w:sz w:val="24"/>
          <w:szCs w:val="24"/>
        </w:rPr>
        <w:t xml:space="preserve">have </w:t>
      </w:r>
      <w:r w:rsidR="000A2FD4" w:rsidRPr="00CC7DE6">
        <w:rPr>
          <w:rFonts w:ascii="Arial" w:hAnsi="Arial" w:cs="Arial"/>
          <w:color w:val="000000" w:themeColor="text1"/>
          <w:sz w:val="24"/>
          <w:szCs w:val="24"/>
        </w:rPr>
        <w:t>limited capability for work</w:t>
      </w:r>
      <w:r w:rsidR="00674E2F" w:rsidRPr="00CC7DE6">
        <w:rPr>
          <w:rFonts w:ascii="Arial" w:hAnsi="Arial" w:cs="Arial"/>
          <w:color w:val="000000" w:themeColor="text1"/>
          <w:sz w:val="24"/>
          <w:szCs w:val="24"/>
        </w:rPr>
        <w:t>-</w:t>
      </w:r>
      <w:r w:rsidR="000A2FD4" w:rsidRPr="00CC7DE6">
        <w:rPr>
          <w:rFonts w:ascii="Arial" w:hAnsi="Arial" w:cs="Arial"/>
          <w:color w:val="000000" w:themeColor="text1"/>
          <w:sz w:val="24"/>
          <w:szCs w:val="24"/>
        </w:rPr>
        <w:t xml:space="preserve">related activity. </w:t>
      </w:r>
      <w:r w:rsidR="00BE3314">
        <w:rPr>
          <w:rFonts w:ascii="Arial" w:hAnsi="Arial" w:cs="Arial"/>
          <w:color w:val="000000" w:themeColor="text1"/>
          <w:sz w:val="24"/>
          <w:szCs w:val="24"/>
        </w:rPr>
        <w:t xml:space="preserve"> </w:t>
      </w:r>
      <w:r w:rsidR="000A2FD4" w:rsidRPr="00CC7DE6">
        <w:rPr>
          <w:rFonts w:ascii="Arial" w:hAnsi="Arial" w:cs="Arial"/>
          <w:color w:val="000000" w:themeColor="text1"/>
          <w:sz w:val="24"/>
          <w:szCs w:val="24"/>
        </w:rPr>
        <w:t>The appellant’s representative applied for th</w:t>
      </w:r>
      <w:r w:rsidR="006E0459" w:rsidRPr="00CC7DE6">
        <w:rPr>
          <w:rFonts w:ascii="Arial" w:hAnsi="Arial" w:cs="Arial"/>
          <w:color w:val="000000" w:themeColor="text1"/>
          <w:sz w:val="24"/>
          <w:szCs w:val="24"/>
        </w:rPr>
        <w:t>e</w:t>
      </w:r>
      <w:r w:rsidR="000A2FD4" w:rsidRPr="00CC7DE6">
        <w:rPr>
          <w:rFonts w:ascii="Arial" w:hAnsi="Arial" w:cs="Arial"/>
          <w:color w:val="000000" w:themeColor="text1"/>
          <w:sz w:val="24"/>
          <w:szCs w:val="24"/>
        </w:rPr>
        <w:t xml:space="preserve"> </w:t>
      </w:r>
      <w:r w:rsidR="006E0459" w:rsidRPr="00CC7DE6">
        <w:rPr>
          <w:rFonts w:ascii="Arial" w:hAnsi="Arial" w:cs="Arial"/>
          <w:color w:val="000000" w:themeColor="text1"/>
          <w:sz w:val="24"/>
          <w:szCs w:val="24"/>
        </w:rPr>
        <w:t xml:space="preserve">tribunal’s </w:t>
      </w:r>
      <w:r w:rsidR="000A2FD4" w:rsidRPr="00CC7DE6">
        <w:rPr>
          <w:rFonts w:ascii="Arial" w:hAnsi="Arial" w:cs="Arial"/>
          <w:color w:val="000000" w:themeColor="text1"/>
          <w:sz w:val="24"/>
          <w:szCs w:val="24"/>
        </w:rPr>
        <w:t>decision to be set aside</w:t>
      </w:r>
      <w:r w:rsidR="00494D67" w:rsidRPr="00CC7DE6">
        <w:rPr>
          <w:rFonts w:ascii="Arial" w:hAnsi="Arial" w:cs="Arial"/>
          <w:color w:val="000000" w:themeColor="text1"/>
          <w:sz w:val="24"/>
          <w:szCs w:val="24"/>
        </w:rPr>
        <w:t>, but on 10 January 2024 the LQM refused to set the decision aside</w:t>
      </w:r>
      <w:r w:rsidR="000A2FD4" w:rsidRPr="00CC7DE6">
        <w:rPr>
          <w:rFonts w:ascii="Arial" w:hAnsi="Arial" w:cs="Arial"/>
          <w:color w:val="000000" w:themeColor="text1"/>
          <w:sz w:val="24"/>
          <w:szCs w:val="24"/>
        </w:rPr>
        <w:t>.</w:t>
      </w:r>
      <w:r w:rsidR="00BE3314">
        <w:rPr>
          <w:rFonts w:ascii="Arial" w:hAnsi="Arial" w:cs="Arial"/>
          <w:color w:val="000000" w:themeColor="text1"/>
          <w:sz w:val="24"/>
          <w:szCs w:val="24"/>
        </w:rPr>
        <w:t xml:space="preserve"> </w:t>
      </w:r>
      <w:r w:rsidR="000A2FD4" w:rsidRPr="00CC7DE6">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requested a statement of reasons for the tribunal’s </w:t>
      </w:r>
      <w:proofErr w:type="gramStart"/>
      <w:r w:rsidR="0020334F" w:rsidRPr="00CC7DE6">
        <w:rPr>
          <w:rFonts w:ascii="Arial" w:hAnsi="Arial" w:cs="Arial"/>
          <w:color w:val="000000" w:themeColor="text1"/>
          <w:sz w:val="24"/>
          <w:szCs w:val="24"/>
        </w:rPr>
        <w:t>decision</w:t>
      </w:r>
      <w:proofErr w:type="gramEnd"/>
      <w:r w:rsidR="0020334F" w:rsidRPr="00CC7DE6">
        <w:rPr>
          <w:rFonts w:ascii="Arial" w:hAnsi="Arial" w:cs="Arial"/>
          <w:color w:val="000000" w:themeColor="text1"/>
          <w:sz w:val="24"/>
          <w:szCs w:val="24"/>
        </w:rPr>
        <w:t xml:space="preserve"> and this was issued on </w:t>
      </w:r>
      <w:r w:rsidR="00494D67" w:rsidRPr="00CC7DE6">
        <w:rPr>
          <w:rFonts w:ascii="Arial" w:hAnsi="Arial" w:cs="Arial"/>
          <w:color w:val="000000" w:themeColor="text1"/>
          <w:sz w:val="24"/>
          <w:szCs w:val="24"/>
        </w:rPr>
        <w:t>12 January 2024</w:t>
      </w:r>
      <w:r w:rsidR="0020334F" w:rsidRPr="00CC7DE6">
        <w:rPr>
          <w:rFonts w:ascii="Arial" w:hAnsi="Arial" w:cs="Arial"/>
          <w:color w:val="000000" w:themeColor="text1"/>
          <w:sz w:val="24"/>
          <w:szCs w:val="24"/>
        </w:rPr>
        <w:t xml:space="preserve">. </w:t>
      </w:r>
      <w:r w:rsidR="00BE3314">
        <w:rPr>
          <w:rFonts w:ascii="Arial" w:hAnsi="Arial" w:cs="Arial"/>
          <w:color w:val="000000" w:themeColor="text1"/>
          <w:sz w:val="24"/>
          <w:szCs w:val="24"/>
        </w:rPr>
        <w:t xml:space="preserve"> </w:t>
      </w:r>
      <w:r w:rsidR="00494D67" w:rsidRPr="00CC7DE6">
        <w:rPr>
          <w:rFonts w:ascii="Arial" w:hAnsi="Arial" w:cs="Arial"/>
          <w:color w:val="000000" w:themeColor="text1"/>
          <w:sz w:val="24"/>
          <w:szCs w:val="24"/>
        </w:rPr>
        <w:t>T</w:t>
      </w:r>
      <w:r w:rsidR="0020334F" w:rsidRPr="00CC7DE6">
        <w:rPr>
          <w:rFonts w:ascii="Arial" w:hAnsi="Arial" w:cs="Arial"/>
          <w:color w:val="000000" w:themeColor="text1"/>
          <w:sz w:val="24"/>
          <w:szCs w:val="24"/>
        </w:rPr>
        <w:t xml:space="preserve">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w:t>
      </w:r>
      <w:r w:rsidR="00494D67" w:rsidRPr="00CC7DE6">
        <w:rPr>
          <w:rFonts w:ascii="Arial" w:hAnsi="Arial" w:cs="Arial"/>
          <w:color w:val="000000" w:themeColor="text1"/>
          <w:sz w:val="24"/>
          <w:szCs w:val="24"/>
        </w:rPr>
        <w:t xml:space="preserve">then </w:t>
      </w:r>
      <w:r w:rsidR="0020334F" w:rsidRPr="00CC7DE6">
        <w:rPr>
          <w:rFonts w:ascii="Arial" w:hAnsi="Arial" w:cs="Arial"/>
          <w:color w:val="000000" w:themeColor="text1"/>
          <w:sz w:val="24"/>
          <w:szCs w:val="24"/>
        </w:rPr>
        <w:t xml:space="preserve">applied to the LQM for leave to appeal to the Social Security Commissioner. </w:t>
      </w:r>
      <w:r w:rsidR="00BE3314">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The LQM </w:t>
      </w:r>
      <w:r w:rsidR="00494D67" w:rsidRPr="00CC7DE6">
        <w:rPr>
          <w:rFonts w:ascii="Arial" w:hAnsi="Arial" w:cs="Arial"/>
          <w:color w:val="000000" w:themeColor="text1"/>
          <w:sz w:val="24"/>
          <w:szCs w:val="24"/>
        </w:rPr>
        <w:t>grante</w:t>
      </w:r>
      <w:r w:rsidR="0020334F" w:rsidRPr="00CC7DE6">
        <w:rPr>
          <w:rFonts w:ascii="Arial" w:hAnsi="Arial" w:cs="Arial"/>
          <w:color w:val="000000" w:themeColor="text1"/>
          <w:sz w:val="24"/>
          <w:szCs w:val="24"/>
        </w:rPr>
        <w:t>d the application</w:t>
      </w:r>
      <w:r w:rsidR="00494D67" w:rsidRPr="00CC7DE6">
        <w:rPr>
          <w:rFonts w:ascii="Arial" w:hAnsi="Arial" w:cs="Arial"/>
          <w:color w:val="000000" w:themeColor="text1"/>
          <w:sz w:val="24"/>
          <w:szCs w:val="24"/>
        </w:rPr>
        <w:t xml:space="preserve"> for leave to appeal</w:t>
      </w:r>
      <w:r w:rsidR="0020334F" w:rsidRPr="00CC7DE6">
        <w:rPr>
          <w:rFonts w:ascii="Arial" w:hAnsi="Arial" w:cs="Arial"/>
          <w:color w:val="000000" w:themeColor="text1"/>
          <w:sz w:val="24"/>
          <w:szCs w:val="24"/>
        </w:rPr>
        <w:t xml:space="preserve"> by a determination issued on</w:t>
      </w:r>
      <w:r w:rsidR="00494D67" w:rsidRPr="00CC7DE6">
        <w:rPr>
          <w:rFonts w:ascii="Arial" w:hAnsi="Arial" w:cs="Arial"/>
          <w:color w:val="000000" w:themeColor="text1"/>
          <w:sz w:val="24"/>
          <w:szCs w:val="24"/>
        </w:rPr>
        <w:t xml:space="preserve"> 27 February 2024</w:t>
      </w:r>
      <w:r w:rsidR="0020334F" w:rsidRPr="00CC7DE6">
        <w:rPr>
          <w:rFonts w:ascii="Arial" w:hAnsi="Arial" w:cs="Arial"/>
          <w:color w:val="000000" w:themeColor="text1"/>
          <w:sz w:val="24"/>
          <w:szCs w:val="24"/>
        </w:rPr>
        <w:t xml:space="preserve">. </w:t>
      </w:r>
      <w:r w:rsidR="00BE3314">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 xml:space="preserve">On </w:t>
      </w:r>
      <w:r w:rsidR="00494D67" w:rsidRPr="00CC7DE6">
        <w:rPr>
          <w:rFonts w:ascii="Arial" w:hAnsi="Arial" w:cs="Arial"/>
          <w:color w:val="000000" w:themeColor="text1"/>
          <w:sz w:val="24"/>
          <w:szCs w:val="24"/>
        </w:rPr>
        <w:t>2</w:t>
      </w:r>
      <w:r w:rsidR="007D2B6D" w:rsidRPr="00CC7DE6">
        <w:rPr>
          <w:rFonts w:ascii="Arial" w:hAnsi="Arial" w:cs="Arial"/>
          <w:color w:val="000000" w:themeColor="text1"/>
          <w:sz w:val="24"/>
          <w:szCs w:val="24"/>
        </w:rPr>
        <w:t>0</w:t>
      </w:r>
      <w:r w:rsidR="00494D67" w:rsidRPr="00CC7DE6">
        <w:rPr>
          <w:rFonts w:ascii="Arial" w:hAnsi="Arial" w:cs="Arial"/>
          <w:color w:val="000000" w:themeColor="text1"/>
          <w:sz w:val="24"/>
          <w:szCs w:val="24"/>
        </w:rPr>
        <w:t xml:space="preserve"> March 2024 </w:t>
      </w:r>
      <w:r w:rsidR="0020334F" w:rsidRPr="00CC7DE6">
        <w:rPr>
          <w:rFonts w:ascii="Arial" w:hAnsi="Arial" w:cs="Arial"/>
          <w:color w:val="000000" w:themeColor="text1"/>
          <w:sz w:val="24"/>
          <w:szCs w:val="24"/>
        </w:rPr>
        <w:t xml:space="preserve">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xml:space="preserve"> applied to a Social Security Commissioner for leave to appeal.</w:t>
      </w:r>
    </w:p>
    <w:p w14:paraId="23656584" w14:textId="77777777" w:rsidR="0009475F" w:rsidRPr="00BE3314" w:rsidRDefault="0009475F" w:rsidP="001B4A23">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03F44083" w14:textId="7BEB9757" w:rsidR="0009475F" w:rsidRPr="00CC7DE6" w:rsidRDefault="00BE3314" w:rsidP="001B4A23">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20334F" w:rsidRPr="00CC7DE6">
        <w:rPr>
          <w:rFonts w:ascii="Arial" w:hAnsi="Arial" w:cs="Arial"/>
          <w:b/>
          <w:color w:val="000000" w:themeColor="text1"/>
          <w:sz w:val="24"/>
          <w:szCs w:val="24"/>
        </w:rPr>
        <w:t>Grounds</w:t>
      </w:r>
    </w:p>
    <w:p w14:paraId="4C5BA6F9" w14:textId="77777777" w:rsidR="0009475F" w:rsidRPr="00CC7DE6" w:rsidRDefault="0009475F" w:rsidP="001B4A23">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73217FF0" w14:textId="67DA59BB" w:rsidR="0009475F" w:rsidRPr="00CC7DE6" w:rsidRDefault="001B4A23" w:rsidP="0060676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6E0459" w:rsidRPr="00CC7DE6">
        <w:rPr>
          <w:rFonts w:ascii="Arial" w:hAnsi="Arial" w:cs="Arial"/>
          <w:color w:val="000000" w:themeColor="text1"/>
          <w:sz w:val="24"/>
          <w:szCs w:val="24"/>
        </w:rPr>
        <w:t>The ground on which leave to appeal was granted by the LQM is whether the tribunal should have had regard to specific employment in the appellant’s local ar</w:t>
      </w:r>
      <w:r w:rsidR="00674E2F" w:rsidRPr="00CC7DE6">
        <w:rPr>
          <w:rFonts w:ascii="Arial" w:hAnsi="Arial" w:cs="Arial"/>
          <w:color w:val="000000" w:themeColor="text1"/>
          <w:sz w:val="24"/>
          <w:szCs w:val="24"/>
        </w:rPr>
        <w:t>e</w:t>
      </w:r>
      <w:r w:rsidR="006E0459" w:rsidRPr="00CC7DE6">
        <w:rPr>
          <w:rFonts w:ascii="Arial" w:hAnsi="Arial" w:cs="Arial"/>
          <w:color w:val="000000" w:themeColor="text1"/>
          <w:sz w:val="24"/>
          <w:szCs w:val="24"/>
        </w:rPr>
        <w:t xml:space="preserve">a when considering </w:t>
      </w:r>
      <w:r w:rsidR="00674E2F" w:rsidRPr="00CC7DE6">
        <w:rPr>
          <w:rFonts w:ascii="Arial" w:hAnsi="Arial" w:cs="Arial"/>
          <w:color w:val="000000" w:themeColor="text1"/>
          <w:sz w:val="24"/>
          <w:szCs w:val="24"/>
        </w:rPr>
        <w:t>whether he had limited capability for work and work-related activity</w:t>
      </w:r>
      <w:r w:rsidR="006E0459" w:rsidRPr="00CC7DE6">
        <w:rPr>
          <w:rFonts w:ascii="Arial" w:hAnsi="Arial" w:cs="Arial"/>
          <w:color w:val="000000" w:themeColor="text1"/>
          <w:sz w:val="24"/>
          <w:szCs w:val="24"/>
        </w:rPr>
        <w:t>.</w:t>
      </w:r>
    </w:p>
    <w:p w14:paraId="67360017" w14:textId="77777777" w:rsidR="0009475F" w:rsidRPr="00CC7DE6" w:rsidRDefault="0009475F" w:rsidP="0060676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DAE4D65" w14:textId="2FFD67F4" w:rsidR="0020334F" w:rsidRPr="00CC7DE6" w:rsidRDefault="0060676F" w:rsidP="0060676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20334F" w:rsidRPr="00CC7DE6">
        <w:rPr>
          <w:rFonts w:ascii="Arial" w:hAnsi="Arial" w:cs="Arial"/>
          <w:color w:val="000000" w:themeColor="text1"/>
          <w:sz w:val="24"/>
          <w:szCs w:val="24"/>
        </w:rPr>
        <w:t xml:space="preserve">The </w:t>
      </w:r>
      <w:r w:rsidR="00FD53DC" w:rsidRPr="00CC7DE6">
        <w:rPr>
          <w:rFonts w:ascii="Arial" w:hAnsi="Arial" w:cs="Arial"/>
          <w:color w:val="000000" w:themeColor="text1"/>
          <w:sz w:val="24"/>
          <w:szCs w:val="24"/>
        </w:rPr>
        <w:t>appellant</w:t>
      </w:r>
      <w:r w:rsidR="0020334F" w:rsidRPr="00CC7DE6">
        <w:rPr>
          <w:rFonts w:ascii="Arial" w:hAnsi="Arial" w:cs="Arial"/>
          <w:color w:val="000000" w:themeColor="text1"/>
          <w:sz w:val="24"/>
          <w:szCs w:val="24"/>
        </w:rPr>
        <w:t>, represented by</w:t>
      </w:r>
      <w:r w:rsidR="00494D67" w:rsidRPr="00CC7DE6">
        <w:rPr>
          <w:rFonts w:ascii="Arial" w:hAnsi="Arial" w:cs="Arial"/>
          <w:color w:val="000000" w:themeColor="text1"/>
          <w:sz w:val="24"/>
          <w:szCs w:val="24"/>
        </w:rPr>
        <w:t xml:space="preserve"> </w:t>
      </w:r>
      <w:r w:rsidR="0036597E" w:rsidRPr="00CC7DE6">
        <w:rPr>
          <w:rFonts w:ascii="Arial" w:hAnsi="Arial" w:cs="Arial"/>
          <w:color w:val="000000" w:themeColor="text1"/>
          <w:sz w:val="24"/>
          <w:szCs w:val="24"/>
        </w:rPr>
        <w:t xml:space="preserve">Nicky Roberts of </w:t>
      </w:r>
      <w:r w:rsidR="00494D67" w:rsidRPr="00CC7DE6">
        <w:rPr>
          <w:rFonts w:ascii="Arial" w:hAnsi="Arial" w:cs="Arial"/>
          <w:color w:val="000000" w:themeColor="text1"/>
          <w:sz w:val="24"/>
          <w:szCs w:val="24"/>
        </w:rPr>
        <w:t xml:space="preserve">Community Advice Ards and North Down, </w:t>
      </w:r>
      <w:r w:rsidR="0020334F" w:rsidRPr="00CC7DE6">
        <w:rPr>
          <w:rFonts w:ascii="Arial" w:hAnsi="Arial" w:cs="Arial"/>
          <w:color w:val="000000" w:themeColor="text1"/>
          <w:sz w:val="24"/>
          <w:szCs w:val="24"/>
        </w:rPr>
        <w:t>submits that the tribunal has erred in law on the basis that:</w:t>
      </w:r>
    </w:p>
    <w:p w14:paraId="42DBE9C4" w14:textId="77777777" w:rsidR="00494D67" w:rsidRPr="00CC7DE6" w:rsidRDefault="00494D67" w:rsidP="0060676F">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09A3E863" w14:textId="3941BFDF" w:rsidR="00494D67" w:rsidRDefault="0060676F" w:rsidP="0060676F">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494D67" w:rsidRPr="00CC7DE6">
        <w:rPr>
          <w:rFonts w:ascii="Arial" w:hAnsi="Arial" w:cs="Arial"/>
          <w:color w:val="000000" w:themeColor="text1"/>
          <w:sz w:val="24"/>
          <w:szCs w:val="24"/>
        </w:rPr>
        <w:t>It failed to consider and take account of evidence regarding types of work-related activity in the area whether the appellant lived</w:t>
      </w:r>
      <w:r w:rsidR="00E32EF3" w:rsidRPr="00CC7DE6">
        <w:rPr>
          <w:rFonts w:ascii="Arial" w:hAnsi="Arial" w:cs="Arial"/>
          <w:color w:val="000000" w:themeColor="text1"/>
          <w:sz w:val="24"/>
          <w:szCs w:val="24"/>
        </w:rPr>
        <w:t>.</w:t>
      </w:r>
    </w:p>
    <w:p w14:paraId="6D17A9A1" w14:textId="77777777" w:rsidR="0060676F" w:rsidRPr="00CC7DE6" w:rsidRDefault="0060676F" w:rsidP="0060676F">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7016CBD1" w14:textId="093AC0D4" w:rsidR="00494D67" w:rsidRPr="00CC7DE6" w:rsidRDefault="0060676F" w:rsidP="0060676F">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t>(ii)</w:t>
      </w:r>
      <w:r>
        <w:rPr>
          <w:rFonts w:ascii="Arial" w:hAnsi="Arial" w:cs="Arial"/>
          <w:color w:val="000000" w:themeColor="text1"/>
          <w:sz w:val="24"/>
          <w:szCs w:val="24"/>
        </w:rPr>
        <w:tab/>
      </w:r>
      <w:r w:rsidR="00494D67" w:rsidRPr="00CC7DE6">
        <w:rPr>
          <w:rFonts w:ascii="Arial" w:hAnsi="Arial" w:cs="Arial"/>
          <w:color w:val="000000" w:themeColor="text1"/>
          <w:sz w:val="24"/>
          <w:szCs w:val="24"/>
        </w:rPr>
        <w:t>It failed to address the issue of whether there would be substantial risk to the appellant fr</w:t>
      </w:r>
      <w:r w:rsidR="008C5378" w:rsidRPr="00CC7DE6">
        <w:rPr>
          <w:rFonts w:ascii="Arial" w:hAnsi="Arial" w:cs="Arial"/>
          <w:color w:val="000000" w:themeColor="text1"/>
          <w:sz w:val="24"/>
          <w:szCs w:val="24"/>
        </w:rPr>
        <w:t>o</w:t>
      </w:r>
      <w:r w:rsidR="00494D67" w:rsidRPr="00CC7DE6">
        <w:rPr>
          <w:rFonts w:ascii="Arial" w:hAnsi="Arial" w:cs="Arial"/>
          <w:color w:val="000000" w:themeColor="text1"/>
          <w:sz w:val="24"/>
          <w:szCs w:val="24"/>
        </w:rPr>
        <w:t>m being found not to have limited capability for work-related activity.</w:t>
      </w:r>
    </w:p>
    <w:p w14:paraId="3596176C" w14:textId="77777777" w:rsidR="006E0459" w:rsidRPr="00CC7DE6" w:rsidRDefault="006E0459" w:rsidP="0060676F">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5A0D65DF" w14:textId="21CB323F" w:rsidR="0009475F" w:rsidRPr="00CC7DE6" w:rsidRDefault="0060676F" w:rsidP="0060676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6E0459" w:rsidRPr="00CC7DE6">
        <w:rPr>
          <w:rFonts w:ascii="Arial" w:hAnsi="Arial" w:cs="Arial"/>
          <w:color w:val="000000" w:themeColor="text1"/>
          <w:sz w:val="24"/>
          <w:szCs w:val="24"/>
        </w:rPr>
        <w:t>Whereas the LQM has granted leave to appeal on the first ground advanced, he has not granted leave to appeal on the second ground.</w:t>
      </w:r>
      <w:r>
        <w:rPr>
          <w:rFonts w:ascii="Arial" w:hAnsi="Arial" w:cs="Arial"/>
          <w:color w:val="000000" w:themeColor="text1"/>
          <w:sz w:val="24"/>
          <w:szCs w:val="24"/>
        </w:rPr>
        <w:t xml:space="preserve"> </w:t>
      </w:r>
      <w:r w:rsidR="006E0459" w:rsidRPr="00CC7DE6">
        <w:rPr>
          <w:rFonts w:ascii="Arial" w:hAnsi="Arial" w:cs="Arial"/>
          <w:color w:val="000000" w:themeColor="text1"/>
          <w:sz w:val="24"/>
          <w:szCs w:val="24"/>
        </w:rPr>
        <w:t xml:space="preserve"> I will therefore treat the second ground advanced as an application for leave to appeal on that ground.</w:t>
      </w:r>
    </w:p>
    <w:p w14:paraId="4F09FB78" w14:textId="77777777" w:rsidR="0009475F" w:rsidRPr="00CC7DE6" w:rsidRDefault="0009475F" w:rsidP="0060676F">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4D01142B" w14:textId="3D9C6FDD" w:rsidR="0009475F" w:rsidRPr="00CC7DE6" w:rsidRDefault="0060676F" w:rsidP="0060676F">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20334F" w:rsidRPr="00CC7DE6">
        <w:rPr>
          <w:rFonts w:ascii="Arial" w:hAnsi="Arial" w:cs="Arial"/>
          <w:color w:val="000000" w:themeColor="text1"/>
          <w:sz w:val="24"/>
          <w:szCs w:val="24"/>
        </w:rPr>
        <w:t xml:space="preserve">The Department was invited to make observations on the appellant’s grounds.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Ms</w:t>
      </w:r>
      <w:r w:rsidR="00061EF9" w:rsidRPr="00CC7DE6">
        <w:rPr>
          <w:rFonts w:ascii="Arial" w:hAnsi="Arial" w:cs="Arial"/>
          <w:color w:val="000000" w:themeColor="text1"/>
          <w:sz w:val="24"/>
          <w:szCs w:val="24"/>
        </w:rPr>
        <w:t xml:space="preserve"> Toner </w:t>
      </w:r>
      <w:r w:rsidR="0020334F" w:rsidRPr="00CC7DE6">
        <w:rPr>
          <w:rFonts w:ascii="Arial" w:hAnsi="Arial" w:cs="Arial"/>
          <w:color w:val="000000" w:themeColor="text1"/>
          <w:sz w:val="24"/>
          <w:szCs w:val="24"/>
        </w:rPr>
        <w:t xml:space="preserve">of </w:t>
      </w:r>
      <w:proofErr w:type="gramStart"/>
      <w:r w:rsidR="0020334F" w:rsidRPr="00CC7DE6">
        <w:rPr>
          <w:rFonts w:ascii="Arial" w:hAnsi="Arial" w:cs="Arial"/>
          <w:color w:val="000000" w:themeColor="text1"/>
          <w:sz w:val="24"/>
          <w:szCs w:val="24"/>
        </w:rPr>
        <w:t>Decision Making</w:t>
      </w:r>
      <w:proofErr w:type="gramEnd"/>
      <w:r w:rsidR="0020334F" w:rsidRPr="00CC7DE6">
        <w:rPr>
          <w:rFonts w:ascii="Arial" w:hAnsi="Arial" w:cs="Arial"/>
          <w:color w:val="000000" w:themeColor="text1"/>
          <w:sz w:val="24"/>
          <w:szCs w:val="24"/>
        </w:rPr>
        <w:t xml:space="preserve"> Services (DMS) responded on behalf of the Department. </w:t>
      </w:r>
      <w:r>
        <w:rPr>
          <w:rFonts w:ascii="Arial" w:hAnsi="Arial" w:cs="Arial"/>
          <w:color w:val="000000" w:themeColor="text1"/>
          <w:sz w:val="24"/>
          <w:szCs w:val="24"/>
        </w:rPr>
        <w:t xml:space="preserve"> </w:t>
      </w:r>
      <w:r w:rsidR="0020334F" w:rsidRPr="00CC7DE6">
        <w:rPr>
          <w:rFonts w:ascii="Arial" w:hAnsi="Arial" w:cs="Arial"/>
          <w:color w:val="000000" w:themeColor="text1"/>
          <w:sz w:val="24"/>
          <w:szCs w:val="24"/>
        </w:rPr>
        <w:t>She submitted that the tribunal had erred in law as alleged and indicated that the Department support</w:t>
      </w:r>
      <w:r w:rsidR="006E0459" w:rsidRPr="00CC7DE6">
        <w:rPr>
          <w:rFonts w:ascii="Arial" w:hAnsi="Arial" w:cs="Arial"/>
          <w:color w:val="000000" w:themeColor="text1"/>
          <w:sz w:val="24"/>
          <w:szCs w:val="24"/>
        </w:rPr>
        <w:t>ed</w:t>
      </w:r>
      <w:r w:rsidR="0020334F" w:rsidRPr="00CC7DE6">
        <w:rPr>
          <w:rFonts w:ascii="Arial" w:hAnsi="Arial" w:cs="Arial"/>
          <w:color w:val="000000" w:themeColor="text1"/>
          <w:sz w:val="24"/>
          <w:szCs w:val="24"/>
        </w:rPr>
        <w:t xml:space="preserve"> </w:t>
      </w:r>
      <w:r w:rsidR="006E0459" w:rsidRPr="00CC7DE6">
        <w:rPr>
          <w:rFonts w:ascii="Arial" w:hAnsi="Arial" w:cs="Arial"/>
          <w:color w:val="000000" w:themeColor="text1"/>
          <w:sz w:val="24"/>
          <w:szCs w:val="24"/>
        </w:rPr>
        <w:t xml:space="preserve">both </w:t>
      </w:r>
      <w:r w:rsidR="0020334F" w:rsidRPr="00CC7DE6">
        <w:rPr>
          <w:rFonts w:ascii="Arial" w:hAnsi="Arial" w:cs="Arial"/>
          <w:color w:val="000000" w:themeColor="text1"/>
          <w:sz w:val="24"/>
          <w:szCs w:val="24"/>
        </w:rPr>
        <w:t xml:space="preserve">the </w:t>
      </w:r>
      <w:r w:rsidR="006E0459" w:rsidRPr="00CC7DE6">
        <w:rPr>
          <w:rFonts w:ascii="Arial" w:hAnsi="Arial" w:cs="Arial"/>
          <w:color w:val="000000" w:themeColor="text1"/>
          <w:sz w:val="24"/>
          <w:szCs w:val="24"/>
        </w:rPr>
        <w:t xml:space="preserve">appeal and the </w:t>
      </w:r>
      <w:r w:rsidR="0020334F" w:rsidRPr="00CC7DE6">
        <w:rPr>
          <w:rFonts w:ascii="Arial" w:hAnsi="Arial" w:cs="Arial"/>
          <w:color w:val="000000" w:themeColor="text1"/>
          <w:sz w:val="24"/>
          <w:szCs w:val="24"/>
        </w:rPr>
        <w:t>application</w:t>
      </w:r>
      <w:r w:rsidR="0039686B" w:rsidRPr="00CC7DE6">
        <w:rPr>
          <w:rFonts w:ascii="Arial" w:hAnsi="Arial" w:cs="Arial"/>
          <w:color w:val="000000" w:themeColor="text1"/>
          <w:sz w:val="24"/>
          <w:szCs w:val="24"/>
        </w:rPr>
        <w:t xml:space="preserve"> for leave to appeal</w:t>
      </w:r>
      <w:r w:rsidR="0020334F" w:rsidRPr="00CC7DE6">
        <w:rPr>
          <w:rFonts w:ascii="Arial" w:hAnsi="Arial" w:cs="Arial"/>
          <w:color w:val="000000" w:themeColor="text1"/>
          <w:sz w:val="24"/>
          <w:szCs w:val="24"/>
        </w:rPr>
        <w:t>.</w:t>
      </w:r>
    </w:p>
    <w:p w14:paraId="3D6F8CD7" w14:textId="77777777" w:rsidR="0009475F" w:rsidRPr="00CC7DE6" w:rsidRDefault="0009475F" w:rsidP="001B4A23">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7B7AD810" w14:textId="6E9E7CC2" w:rsidR="0009475F" w:rsidRPr="00CC7DE6" w:rsidRDefault="00412022" w:rsidP="001B4A23">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20334F" w:rsidRPr="00CC7DE6">
        <w:rPr>
          <w:rFonts w:ascii="Arial" w:hAnsi="Arial" w:cs="Arial"/>
          <w:b/>
          <w:color w:val="000000" w:themeColor="text1"/>
          <w:sz w:val="24"/>
          <w:szCs w:val="24"/>
        </w:rPr>
        <w:t>The tribunal’s decision</w:t>
      </w:r>
    </w:p>
    <w:p w14:paraId="32BFD45A" w14:textId="77777777" w:rsidR="0009475F" w:rsidRPr="00CC7DE6" w:rsidRDefault="0009475F" w:rsidP="001B4A23">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044241F6" w14:textId="7B1C4F72" w:rsidR="0009475F" w:rsidRPr="00CC7DE6" w:rsidRDefault="00412022" w:rsidP="0041202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10.</w:t>
      </w:r>
      <w:r>
        <w:rPr>
          <w:rFonts w:ascii="Arial" w:hAnsi="Arial" w:cs="Arial"/>
          <w:color w:val="000000" w:themeColor="text1"/>
          <w:sz w:val="24"/>
          <w:szCs w:val="24"/>
        </w:rPr>
        <w:tab/>
      </w:r>
      <w:r w:rsidR="00A94B13" w:rsidRPr="00CC7DE6">
        <w:rPr>
          <w:rFonts w:ascii="Arial" w:hAnsi="Arial" w:cs="Arial"/>
          <w:color w:val="000000" w:themeColor="text1"/>
          <w:sz w:val="24"/>
          <w:szCs w:val="24"/>
        </w:rPr>
        <w:t xml:space="preserve">The LQM of the tribunal has prepared a statement of reasons for the tribunal’s decision. </w:t>
      </w:r>
      <w:r>
        <w:rPr>
          <w:rFonts w:ascii="Arial" w:hAnsi="Arial" w:cs="Arial"/>
          <w:color w:val="000000" w:themeColor="text1"/>
          <w:sz w:val="24"/>
          <w:szCs w:val="24"/>
        </w:rPr>
        <w:t xml:space="preserve"> </w:t>
      </w:r>
      <w:r w:rsidR="00A94B13" w:rsidRPr="00CC7DE6">
        <w:rPr>
          <w:rFonts w:ascii="Arial" w:hAnsi="Arial" w:cs="Arial"/>
          <w:color w:val="000000" w:themeColor="text1"/>
          <w:sz w:val="24"/>
          <w:szCs w:val="24"/>
        </w:rPr>
        <w:t xml:space="preserve">From this I can see that the tribunal had documentary material and evidence before it </w:t>
      </w:r>
      <w:proofErr w:type="gramStart"/>
      <w:r w:rsidR="00A94B13" w:rsidRPr="00CC7DE6">
        <w:rPr>
          <w:rFonts w:ascii="Arial" w:hAnsi="Arial" w:cs="Arial"/>
          <w:color w:val="000000" w:themeColor="text1"/>
          <w:sz w:val="24"/>
          <w:szCs w:val="24"/>
        </w:rPr>
        <w:t>consisting</w:t>
      </w:r>
      <w:proofErr w:type="gramEnd"/>
      <w:r w:rsidR="00A94B13" w:rsidRPr="00CC7DE6">
        <w:rPr>
          <w:rFonts w:ascii="Arial" w:hAnsi="Arial" w:cs="Arial"/>
          <w:color w:val="000000" w:themeColor="text1"/>
          <w:sz w:val="24"/>
          <w:szCs w:val="24"/>
        </w:rPr>
        <w:t xml:space="preserve"> of the Department’s submission – including the UC50 self-assessment form and UC85 report from a HCP – and the appellant’s medical records.</w:t>
      </w:r>
      <w:r w:rsidR="000C3BE1"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0C3BE1" w:rsidRPr="00CC7DE6">
        <w:rPr>
          <w:rFonts w:ascii="Arial" w:hAnsi="Arial" w:cs="Arial"/>
          <w:color w:val="000000" w:themeColor="text1"/>
          <w:sz w:val="24"/>
          <w:szCs w:val="24"/>
        </w:rPr>
        <w:t>It also had a written submission from Community Advice Ards and North Down</w:t>
      </w:r>
      <w:r>
        <w:rPr>
          <w:rFonts w:ascii="Arial" w:hAnsi="Arial" w:cs="Arial"/>
          <w:color w:val="000000" w:themeColor="text1"/>
          <w:sz w:val="24"/>
          <w:szCs w:val="24"/>
        </w:rPr>
        <w:t xml:space="preserve">. </w:t>
      </w:r>
      <w:r w:rsidR="00A94B13" w:rsidRPr="00CC7DE6">
        <w:rPr>
          <w:rFonts w:ascii="Arial" w:hAnsi="Arial" w:cs="Arial"/>
          <w:color w:val="000000" w:themeColor="text1"/>
          <w:sz w:val="24"/>
          <w:szCs w:val="24"/>
        </w:rPr>
        <w:t xml:space="preserve"> The appellant attended a</w:t>
      </w:r>
      <w:r w:rsidR="000C3BE1" w:rsidRPr="00CC7DE6">
        <w:rPr>
          <w:rFonts w:ascii="Arial" w:hAnsi="Arial" w:cs="Arial"/>
          <w:color w:val="000000" w:themeColor="text1"/>
          <w:sz w:val="24"/>
          <w:szCs w:val="24"/>
        </w:rPr>
        <w:t>nd</w:t>
      </w:r>
      <w:r w:rsidR="00A94B13" w:rsidRPr="00CC7DE6">
        <w:rPr>
          <w:rFonts w:ascii="Arial" w:hAnsi="Arial" w:cs="Arial"/>
          <w:color w:val="000000" w:themeColor="text1"/>
          <w:sz w:val="24"/>
          <w:szCs w:val="24"/>
        </w:rPr>
        <w:t xml:space="preserve"> gave oral evidence</w:t>
      </w:r>
      <w:r w:rsidR="000C3BE1" w:rsidRPr="00CC7DE6">
        <w:rPr>
          <w:rFonts w:ascii="Arial" w:hAnsi="Arial" w:cs="Arial"/>
          <w:color w:val="000000" w:themeColor="text1"/>
          <w:sz w:val="24"/>
          <w:szCs w:val="24"/>
        </w:rPr>
        <w:t>,</w:t>
      </w:r>
      <w:r w:rsidR="00A94B13" w:rsidRPr="00CC7DE6">
        <w:rPr>
          <w:rFonts w:ascii="Arial" w:hAnsi="Arial" w:cs="Arial"/>
          <w:color w:val="000000" w:themeColor="text1"/>
          <w:sz w:val="24"/>
          <w:szCs w:val="24"/>
        </w:rPr>
        <w:t xml:space="preserve"> accompanied by his wife. </w:t>
      </w:r>
      <w:r>
        <w:rPr>
          <w:rFonts w:ascii="Arial" w:hAnsi="Arial" w:cs="Arial"/>
          <w:color w:val="000000" w:themeColor="text1"/>
          <w:sz w:val="24"/>
          <w:szCs w:val="24"/>
        </w:rPr>
        <w:t xml:space="preserve"> </w:t>
      </w:r>
      <w:r w:rsidR="00A94B13" w:rsidRPr="00CC7DE6">
        <w:rPr>
          <w:rFonts w:ascii="Arial" w:hAnsi="Arial" w:cs="Arial"/>
          <w:color w:val="000000" w:themeColor="text1"/>
          <w:sz w:val="24"/>
          <w:szCs w:val="24"/>
        </w:rPr>
        <w:t>The Department was not represen</w:t>
      </w:r>
      <w:r w:rsidR="000C3BE1" w:rsidRPr="00CC7DE6">
        <w:rPr>
          <w:rFonts w:ascii="Arial" w:hAnsi="Arial" w:cs="Arial"/>
          <w:color w:val="000000" w:themeColor="text1"/>
          <w:sz w:val="24"/>
          <w:szCs w:val="24"/>
        </w:rPr>
        <w:t>ted.</w:t>
      </w:r>
    </w:p>
    <w:p w14:paraId="7CE935DB" w14:textId="77777777" w:rsidR="006B57BE" w:rsidRPr="00CC7DE6" w:rsidRDefault="006B57BE" w:rsidP="0041202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9C41B4E" w14:textId="626744B7" w:rsidR="0009475F" w:rsidRPr="00CC7DE6" w:rsidRDefault="00412022" w:rsidP="0041202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0C3BE1" w:rsidRPr="00CC7DE6">
        <w:rPr>
          <w:rFonts w:ascii="Arial" w:hAnsi="Arial" w:cs="Arial"/>
          <w:color w:val="000000" w:themeColor="text1"/>
          <w:sz w:val="24"/>
          <w:szCs w:val="24"/>
        </w:rPr>
        <w:t xml:space="preserve">The tribunal noted that the appellant had </w:t>
      </w:r>
      <w:proofErr w:type="gramStart"/>
      <w:r w:rsidR="000C3BE1" w:rsidRPr="00CC7DE6">
        <w:rPr>
          <w:rFonts w:ascii="Arial" w:hAnsi="Arial" w:cs="Arial"/>
          <w:color w:val="000000" w:themeColor="text1"/>
          <w:sz w:val="24"/>
          <w:szCs w:val="24"/>
        </w:rPr>
        <w:t>a number of</w:t>
      </w:r>
      <w:proofErr w:type="gramEnd"/>
      <w:r w:rsidR="000C3BE1" w:rsidRPr="00CC7DE6">
        <w:rPr>
          <w:rFonts w:ascii="Arial" w:hAnsi="Arial" w:cs="Arial"/>
          <w:color w:val="000000" w:themeColor="text1"/>
          <w:sz w:val="24"/>
          <w:szCs w:val="24"/>
        </w:rPr>
        <w:t xml:space="preserve"> health complaints, including epilepsy, sleep apnoea, an umbilical hernia, hip pain and alcohol </w:t>
      </w:r>
      <w:r w:rsidR="00156DDE" w:rsidRPr="00CC7DE6">
        <w:rPr>
          <w:rFonts w:ascii="Arial" w:hAnsi="Arial" w:cs="Arial"/>
          <w:color w:val="000000" w:themeColor="text1"/>
          <w:sz w:val="24"/>
          <w:szCs w:val="24"/>
        </w:rPr>
        <w:t>abuse</w:t>
      </w:r>
      <w:r w:rsidR="000C3BE1"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0C3BE1" w:rsidRPr="00CC7DE6">
        <w:rPr>
          <w:rFonts w:ascii="Arial" w:hAnsi="Arial" w:cs="Arial"/>
          <w:color w:val="000000" w:themeColor="text1"/>
          <w:sz w:val="24"/>
          <w:szCs w:val="24"/>
        </w:rPr>
        <w:t xml:space="preserve">It found that he had no mental health difficulties beyond his alcohol abuse. </w:t>
      </w:r>
      <w:r>
        <w:rPr>
          <w:rFonts w:ascii="Arial" w:hAnsi="Arial" w:cs="Arial"/>
          <w:color w:val="000000" w:themeColor="text1"/>
          <w:sz w:val="24"/>
          <w:szCs w:val="24"/>
        </w:rPr>
        <w:t xml:space="preserve"> </w:t>
      </w:r>
      <w:r w:rsidR="000C3BE1" w:rsidRPr="00CC7DE6">
        <w:rPr>
          <w:rFonts w:ascii="Arial" w:hAnsi="Arial" w:cs="Arial"/>
          <w:color w:val="000000" w:themeColor="text1"/>
          <w:sz w:val="24"/>
          <w:szCs w:val="24"/>
        </w:rPr>
        <w:t>It accepted that he would have restrictions in mobilising and with standing</w:t>
      </w:r>
      <w:r w:rsidR="0039686B" w:rsidRPr="00CC7DE6">
        <w:rPr>
          <w:rFonts w:ascii="Arial" w:hAnsi="Arial" w:cs="Arial"/>
          <w:color w:val="000000" w:themeColor="text1"/>
          <w:sz w:val="24"/>
          <w:szCs w:val="24"/>
        </w:rPr>
        <w:t xml:space="preserve"> within the terms of Schedule 6 of the </w:t>
      </w:r>
      <w:r w:rsidR="0039686B" w:rsidRPr="00CC7DE6">
        <w:rPr>
          <w:rFonts w:ascii="Arial" w:hAnsi="Arial" w:cs="Arial"/>
          <w:color w:val="000000" w:themeColor="text1"/>
          <w:sz w:val="24"/>
          <w:szCs w:val="24"/>
          <w:lang w:eastAsia="en-GB"/>
        </w:rPr>
        <w:t xml:space="preserve">Universal Credit </w:t>
      </w:r>
      <w:r w:rsidR="0039686B" w:rsidRPr="00CC7DE6">
        <w:rPr>
          <w:rFonts w:ascii="Arial" w:hAnsi="Arial" w:cs="Arial"/>
          <w:color w:val="000000" w:themeColor="text1"/>
          <w:sz w:val="24"/>
          <w:szCs w:val="24"/>
        </w:rPr>
        <w:t>Regulations (NI) 2016 (the UC Regulations)</w:t>
      </w:r>
      <w:r w:rsidR="000C3BE1" w:rsidRPr="00CC7DE6">
        <w:rPr>
          <w:rFonts w:ascii="Arial" w:hAnsi="Arial" w:cs="Arial"/>
          <w:color w:val="000000" w:themeColor="text1"/>
          <w:sz w:val="24"/>
          <w:szCs w:val="24"/>
        </w:rPr>
        <w:t xml:space="preserve">, awarding 9 points for physical health activity </w:t>
      </w:r>
      <w:proofErr w:type="gramStart"/>
      <w:r w:rsidR="000C3BE1" w:rsidRPr="00CC7DE6">
        <w:rPr>
          <w:rFonts w:ascii="Arial" w:hAnsi="Arial" w:cs="Arial"/>
          <w:color w:val="000000" w:themeColor="text1"/>
          <w:sz w:val="24"/>
          <w:szCs w:val="24"/>
        </w:rPr>
        <w:t>1.(</w:t>
      </w:r>
      <w:proofErr w:type="gramEnd"/>
      <w:r w:rsidR="000C3BE1" w:rsidRPr="00CC7DE6">
        <w:rPr>
          <w:rFonts w:ascii="Arial" w:hAnsi="Arial" w:cs="Arial"/>
          <w:color w:val="000000" w:themeColor="text1"/>
          <w:sz w:val="24"/>
          <w:szCs w:val="24"/>
        </w:rPr>
        <w:t xml:space="preserve">c)(ii) and 6 points for physical activity 2.(c)(iii). </w:t>
      </w:r>
      <w:r>
        <w:rPr>
          <w:rFonts w:ascii="Arial" w:hAnsi="Arial" w:cs="Arial"/>
          <w:color w:val="000000" w:themeColor="text1"/>
          <w:sz w:val="24"/>
          <w:szCs w:val="24"/>
        </w:rPr>
        <w:t xml:space="preserve"> </w:t>
      </w:r>
      <w:r w:rsidR="000C3BE1" w:rsidRPr="00CC7DE6">
        <w:rPr>
          <w:rFonts w:ascii="Arial" w:hAnsi="Arial" w:cs="Arial"/>
          <w:color w:val="000000" w:themeColor="text1"/>
          <w:sz w:val="24"/>
          <w:szCs w:val="24"/>
        </w:rPr>
        <w:t>This totalled 15 points for physical activity and the tribunal allowed the appeal on the basis that the appellant had limited capability for work.</w:t>
      </w:r>
    </w:p>
    <w:p w14:paraId="135845D9" w14:textId="77777777" w:rsidR="0009475F" w:rsidRPr="00CC7DE6" w:rsidRDefault="0009475F" w:rsidP="0041202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C7C4663" w14:textId="2DF9A665" w:rsidR="0009475F" w:rsidRPr="00CC7DE6" w:rsidRDefault="00412022" w:rsidP="0041202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0C3BE1" w:rsidRPr="00CC7DE6">
        <w:rPr>
          <w:rFonts w:ascii="Arial" w:hAnsi="Arial" w:cs="Arial"/>
          <w:color w:val="000000" w:themeColor="text1"/>
          <w:sz w:val="24"/>
          <w:szCs w:val="24"/>
        </w:rPr>
        <w:t xml:space="preserve">In relation to limited capability for work-related activity, </w:t>
      </w:r>
      <w:r w:rsidR="0039686B" w:rsidRPr="00CC7DE6">
        <w:rPr>
          <w:rFonts w:ascii="Arial" w:hAnsi="Arial" w:cs="Arial"/>
          <w:color w:val="000000" w:themeColor="text1"/>
          <w:sz w:val="24"/>
          <w:szCs w:val="24"/>
        </w:rPr>
        <w:t>the tribunal found that the appellant did not have limited capability for work</w:t>
      </w:r>
      <w:r w:rsidR="00674E2F" w:rsidRPr="00CC7DE6">
        <w:rPr>
          <w:rFonts w:ascii="Arial" w:hAnsi="Arial" w:cs="Arial"/>
          <w:color w:val="000000" w:themeColor="text1"/>
          <w:sz w:val="24"/>
          <w:szCs w:val="24"/>
        </w:rPr>
        <w:t>-</w:t>
      </w:r>
      <w:r w:rsidR="0039686B" w:rsidRPr="00CC7DE6">
        <w:rPr>
          <w:rFonts w:ascii="Arial" w:hAnsi="Arial" w:cs="Arial"/>
          <w:color w:val="000000" w:themeColor="text1"/>
          <w:sz w:val="24"/>
          <w:szCs w:val="24"/>
        </w:rPr>
        <w:t>related activity on the basis that he did not score points under the requirements of Schedule 7 of the UC Regulations.</w:t>
      </w:r>
    </w:p>
    <w:p w14:paraId="06A5126B" w14:textId="77777777" w:rsidR="0009475F" w:rsidRPr="00412022" w:rsidRDefault="0009475F" w:rsidP="001B4A23">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05C04D2B" w14:textId="68481E0B" w:rsidR="0009475F" w:rsidRPr="00CC7DE6" w:rsidRDefault="008550B4" w:rsidP="001B4A23">
      <w:pPr>
        <w:tabs>
          <w:tab w:val="left" w:pos="510"/>
          <w:tab w:val="left" w:pos="1077"/>
          <w:tab w:val="left" w:pos="1797"/>
        </w:tabs>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ab/>
      </w:r>
      <w:r w:rsidR="0020334F" w:rsidRPr="00CC7DE6">
        <w:rPr>
          <w:rFonts w:ascii="Arial" w:hAnsi="Arial" w:cs="Arial"/>
          <w:b/>
          <w:color w:val="000000" w:themeColor="text1"/>
          <w:sz w:val="24"/>
          <w:szCs w:val="24"/>
        </w:rPr>
        <w:t>Relevant legislation</w:t>
      </w:r>
    </w:p>
    <w:p w14:paraId="3D5D2A3C" w14:textId="77777777" w:rsidR="0009475F" w:rsidRPr="00CC7DE6" w:rsidRDefault="0009475F" w:rsidP="001B4A23">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3A2A21CE" w14:textId="14F2DA05" w:rsidR="00022A7B" w:rsidRPr="00CC7DE6" w:rsidRDefault="008550B4"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022A7B" w:rsidRPr="00CC7DE6">
        <w:rPr>
          <w:rFonts w:ascii="Arial" w:hAnsi="Arial" w:cs="Arial"/>
          <w:color w:val="000000" w:themeColor="text1"/>
          <w:sz w:val="24"/>
          <w:szCs w:val="24"/>
        </w:rPr>
        <w:t xml:space="preserve">UC was established under the provisions of the Welfare Reform Order (NI) 2015 (the Order). </w:t>
      </w:r>
      <w:r>
        <w:rPr>
          <w:rFonts w:ascii="Arial" w:hAnsi="Arial" w:cs="Arial"/>
          <w:color w:val="000000" w:themeColor="text1"/>
          <w:sz w:val="24"/>
          <w:szCs w:val="24"/>
        </w:rPr>
        <w:t xml:space="preserve"> </w:t>
      </w:r>
      <w:r w:rsidR="00022A7B" w:rsidRPr="00CC7DE6">
        <w:rPr>
          <w:rFonts w:ascii="Arial" w:hAnsi="Arial" w:cs="Arial"/>
          <w:color w:val="000000" w:themeColor="text1"/>
          <w:sz w:val="24"/>
          <w:szCs w:val="24"/>
        </w:rPr>
        <w:t xml:space="preserve">The core rules provide for awards to include an amount in respect of the fact that a person has limited capability for </w:t>
      </w:r>
      <w:proofErr w:type="gramStart"/>
      <w:r w:rsidR="00022A7B" w:rsidRPr="00CC7DE6">
        <w:rPr>
          <w:rFonts w:ascii="Arial" w:hAnsi="Arial" w:cs="Arial"/>
          <w:color w:val="000000" w:themeColor="text1"/>
          <w:sz w:val="24"/>
          <w:szCs w:val="24"/>
        </w:rPr>
        <w:t xml:space="preserve">work </w:t>
      </w:r>
      <w:r w:rsidR="00156DDE" w:rsidRPr="00CC7DE6">
        <w:rPr>
          <w:rFonts w:ascii="Arial" w:hAnsi="Arial" w:cs="Arial"/>
          <w:color w:val="000000" w:themeColor="text1"/>
          <w:sz w:val="24"/>
          <w:szCs w:val="24"/>
        </w:rPr>
        <w:t>and work related</w:t>
      </w:r>
      <w:proofErr w:type="gramEnd"/>
      <w:r w:rsidR="00156DDE" w:rsidRPr="00CC7DE6">
        <w:rPr>
          <w:rFonts w:ascii="Arial" w:hAnsi="Arial" w:cs="Arial"/>
          <w:color w:val="000000" w:themeColor="text1"/>
          <w:sz w:val="24"/>
          <w:szCs w:val="24"/>
        </w:rPr>
        <w:t xml:space="preserve"> activity </w:t>
      </w:r>
      <w:r w:rsidR="00022A7B" w:rsidRPr="00CC7DE6">
        <w:rPr>
          <w:rFonts w:ascii="Arial" w:hAnsi="Arial" w:cs="Arial"/>
          <w:color w:val="000000" w:themeColor="text1"/>
          <w:sz w:val="24"/>
          <w:szCs w:val="24"/>
        </w:rPr>
        <w:t xml:space="preserve">(article 17(2)(b) of the Order). </w:t>
      </w:r>
      <w:r>
        <w:rPr>
          <w:rFonts w:ascii="Arial" w:hAnsi="Arial" w:cs="Arial"/>
          <w:color w:val="000000" w:themeColor="text1"/>
          <w:sz w:val="24"/>
          <w:szCs w:val="24"/>
        </w:rPr>
        <w:t xml:space="preserve"> </w:t>
      </w:r>
      <w:r w:rsidR="00022A7B" w:rsidRPr="00CC7DE6">
        <w:rPr>
          <w:rFonts w:ascii="Arial" w:hAnsi="Arial" w:cs="Arial"/>
          <w:color w:val="000000" w:themeColor="text1"/>
          <w:sz w:val="24"/>
          <w:szCs w:val="24"/>
        </w:rPr>
        <w:t xml:space="preserve">They also amend work-related requirements where a claimant has limited capability for work (article 24(1) of the Order). </w:t>
      </w:r>
      <w:r>
        <w:rPr>
          <w:rFonts w:ascii="Arial" w:hAnsi="Arial" w:cs="Arial"/>
          <w:color w:val="000000" w:themeColor="text1"/>
          <w:sz w:val="24"/>
          <w:szCs w:val="24"/>
        </w:rPr>
        <w:t xml:space="preserve"> </w:t>
      </w:r>
      <w:r w:rsidR="00022A7B" w:rsidRPr="00CC7DE6">
        <w:rPr>
          <w:rFonts w:ascii="Arial" w:hAnsi="Arial" w:cs="Arial"/>
          <w:color w:val="000000" w:themeColor="text1"/>
          <w:sz w:val="24"/>
          <w:szCs w:val="24"/>
        </w:rPr>
        <w:t>By article 43 of the Order:</w:t>
      </w:r>
    </w:p>
    <w:p w14:paraId="7D5FA5C9" w14:textId="77777777" w:rsidR="0009475F" w:rsidRPr="00CC7DE6" w:rsidRDefault="0009475F"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9681AEF" w14:textId="43A2AAE9" w:rsidR="00022A7B" w:rsidRDefault="008550B4" w:rsidP="001F31DE">
      <w:pPr>
        <w:widowControl w:val="0"/>
        <w:tabs>
          <w:tab w:val="left" w:pos="510"/>
          <w:tab w:val="left" w:pos="1077"/>
          <w:tab w:val="left" w:pos="1797"/>
        </w:tabs>
        <w:autoSpaceDE w:val="0"/>
        <w:autoSpaceDN w:val="0"/>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022A7B" w:rsidRPr="00CC7DE6">
        <w:rPr>
          <w:rFonts w:ascii="Arial" w:hAnsi="Arial" w:cs="Arial"/>
          <w:color w:val="000000" w:themeColor="text1"/>
          <w:sz w:val="24"/>
          <w:szCs w:val="24"/>
        </w:rPr>
        <w:t>43</w:t>
      </w:r>
      <w:proofErr w:type="gramStart"/>
      <w:r w:rsidR="00022A7B" w:rsidRPr="00CC7DE6">
        <w:rPr>
          <w:rFonts w:ascii="Arial" w:hAnsi="Arial" w:cs="Arial"/>
          <w:color w:val="000000" w:themeColor="text1"/>
          <w:sz w:val="24"/>
          <w:szCs w:val="24"/>
        </w:rPr>
        <w:t>—(</w:t>
      </w:r>
      <w:proofErr w:type="gramEnd"/>
      <w:r w:rsidR="00022A7B" w:rsidRPr="00CC7DE6">
        <w:rPr>
          <w:rFonts w:ascii="Arial" w:hAnsi="Arial" w:cs="Arial"/>
          <w:color w:val="000000" w:themeColor="text1"/>
          <w:sz w:val="24"/>
          <w:szCs w:val="24"/>
        </w:rPr>
        <w:t>1) For the purposes of this Part a claimant has limited capability for work if—</w:t>
      </w:r>
    </w:p>
    <w:p w14:paraId="1D26B990" w14:textId="77777777" w:rsidR="008550B4" w:rsidRPr="00CC7DE6" w:rsidRDefault="008550B4" w:rsidP="001F31DE">
      <w:pPr>
        <w:widowControl w:val="0"/>
        <w:tabs>
          <w:tab w:val="left" w:pos="510"/>
          <w:tab w:val="left" w:pos="1077"/>
          <w:tab w:val="left" w:pos="1797"/>
        </w:tabs>
        <w:autoSpaceDE w:val="0"/>
        <w:autoSpaceDN w:val="0"/>
        <w:spacing w:after="0" w:line="240" w:lineRule="auto"/>
        <w:ind w:left="510" w:hanging="510"/>
        <w:jc w:val="both"/>
        <w:rPr>
          <w:rFonts w:ascii="Arial" w:hAnsi="Arial" w:cs="Arial"/>
          <w:color w:val="000000" w:themeColor="text1"/>
          <w:sz w:val="24"/>
          <w:szCs w:val="24"/>
        </w:rPr>
      </w:pPr>
    </w:p>
    <w:p w14:paraId="09DE3A0A" w14:textId="14FD2FC0" w:rsidR="00022A7B" w:rsidRPr="008550B4" w:rsidRDefault="008550B4" w:rsidP="001F31DE">
      <w:pPr>
        <w:widowControl w:val="0"/>
        <w:tabs>
          <w:tab w:val="left" w:pos="510"/>
          <w:tab w:val="left" w:pos="1077"/>
          <w:tab w:val="left" w:pos="1797"/>
        </w:tabs>
        <w:autoSpaceDE w:val="0"/>
        <w:autoSpaceDN w:val="0"/>
        <w:spacing w:after="0" w:line="240" w:lineRule="auto"/>
        <w:ind w:left="1077" w:right="115"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022A7B" w:rsidRPr="008550B4">
        <w:rPr>
          <w:rFonts w:ascii="Arial" w:hAnsi="Arial" w:cs="Arial"/>
          <w:color w:val="000000" w:themeColor="text1"/>
          <w:sz w:val="24"/>
          <w:szCs w:val="24"/>
        </w:rPr>
        <w:t>the claimant’s capability for work is limited by his or her physical or mental condition, and</w:t>
      </w:r>
    </w:p>
    <w:p w14:paraId="2D6544BC" w14:textId="77777777" w:rsidR="00156DDE" w:rsidRPr="00CC7DE6" w:rsidRDefault="00156DDE" w:rsidP="001F31DE">
      <w:pPr>
        <w:pStyle w:val="ListParagraph"/>
        <w:widowControl w:val="0"/>
        <w:tabs>
          <w:tab w:val="left" w:pos="510"/>
          <w:tab w:val="left" w:pos="1077"/>
          <w:tab w:val="left" w:pos="1797"/>
        </w:tabs>
        <w:autoSpaceDE w:val="0"/>
        <w:autoSpaceDN w:val="0"/>
        <w:spacing w:after="0" w:line="240" w:lineRule="auto"/>
        <w:ind w:left="1077" w:right="115" w:hanging="1077"/>
        <w:jc w:val="both"/>
        <w:rPr>
          <w:rFonts w:ascii="Arial" w:hAnsi="Arial" w:cs="Arial"/>
          <w:color w:val="000000" w:themeColor="text1"/>
          <w:sz w:val="24"/>
          <w:szCs w:val="24"/>
        </w:rPr>
      </w:pPr>
    </w:p>
    <w:p w14:paraId="210AB57E" w14:textId="6E1E3DE3" w:rsidR="00022A7B" w:rsidRPr="008550B4" w:rsidRDefault="008550B4" w:rsidP="001F31DE">
      <w:pPr>
        <w:widowControl w:val="0"/>
        <w:tabs>
          <w:tab w:val="left" w:pos="510"/>
          <w:tab w:val="left" w:pos="1077"/>
          <w:tab w:val="left" w:pos="1797"/>
        </w:tabs>
        <w:autoSpaceDE w:val="0"/>
        <w:autoSpaceDN w:val="0"/>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022A7B" w:rsidRPr="008550B4">
        <w:rPr>
          <w:rFonts w:ascii="Arial" w:hAnsi="Arial" w:cs="Arial"/>
          <w:color w:val="000000" w:themeColor="text1"/>
          <w:sz w:val="24"/>
          <w:szCs w:val="24"/>
        </w:rPr>
        <w:t>the limitation is such that it is not reasonable to require the claimant to work.</w:t>
      </w:r>
    </w:p>
    <w:p w14:paraId="32E16A68" w14:textId="77777777" w:rsidR="00156DDE" w:rsidRPr="00CC7DE6" w:rsidRDefault="00156DDE" w:rsidP="001F31DE">
      <w:pPr>
        <w:pStyle w:val="ListParagraph"/>
        <w:widowControl w:val="0"/>
        <w:tabs>
          <w:tab w:val="left" w:pos="510"/>
          <w:tab w:val="left" w:pos="1077"/>
          <w:tab w:val="left" w:pos="1797"/>
        </w:tabs>
        <w:autoSpaceDE w:val="0"/>
        <w:autoSpaceDN w:val="0"/>
        <w:spacing w:after="0" w:line="240" w:lineRule="auto"/>
        <w:ind w:left="510" w:hanging="510"/>
        <w:jc w:val="both"/>
        <w:rPr>
          <w:rFonts w:ascii="Arial" w:hAnsi="Arial" w:cs="Arial"/>
          <w:color w:val="000000" w:themeColor="text1"/>
          <w:sz w:val="24"/>
          <w:szCs w:val="24"/>
        </w:rPr>
      </w:pPr>
    </w:p>
    <w:p w14:paraId="0CBBE423" w14:textId="7FDF40A1" w:rsidR="00022A7B" w:rsidRPr="008550B4" w:rsidRDefault="008550B4" w:rsidP="001F31DE">
      <w:pPr>
        <w:widowControl w:val="0"/>
        <w:tabs>
          <w:tab w:val="left" w:pos="510"/>
          <w:tab w:val="left" w:pos="1077"/>
          <w:tab w:val="left" w:pos="1797"/>
        </w:tabs>
        <w:autoSpaceDE w:val="0"/>
        <w:autoSpaceDN w:val="0"/>
        <w:spacing w:after="0" w:line="240" w:lineRule="auto"/>
        <w:ind w:left="510" w:right="112" w:hanging="510"/>
        <w:jc w:val="both"/>
        <w:rPr>
          <w:rFonts w:ascii="Arial" w:hAnsi="Arial" w:cs="Arial"/>
          <w:color w:val="000000" w:themeColor="text1"/>
          <w:sz w:val="24"/>
          <w:szCs w:val="24"/>
        </w:rPr>
      </w:pPr>
      <w:r>
        <w:rPr>
          <w:rFonts w:ascii="Arial" w:hAnsi="Arial" w:cs="Arial"/>
          <w:color w:val="000000" w:themeColor="text1"/>
          <w:sz w:val="24"/>
          <w:szCs w:val="24"/>
        </w:rPr>
        <w:tab/>
        <w:t>(2)</w:t>
      </w:r>
      <w:r>
        <w:rPr>
          <w:rFonts w:ascii="Arial" w:hAnsi="Arial" w:cs="Arial"/>
          <w:color w:val="000000" w:themeColor="text1"/>
          <w:sz w:val="24"/>
          <w:szCs w:val="24"/>
        </w:rPr>
        <w:tab/>
      </w:r>
      <w:r w:rsidR="00022A7B" w:rsidRPr="008550B4">
        <w:rPr>
          <w:rFonts w:ascii="Arial" w:hAnsi="Arial" w:cs="Arial"/>
          <w:color w:val="000000" w:themeColor="text1"/>
          <w:sz w:val="24"/>
          <w:szCs w:val="24"/>
        </w:rPr>
        <w:t>For the purposes of this Part a claimant has limited capability for work-related activity if—</w:t>
      </w:r>
    </w:p>
    <w:p w14:paraId="1F2BC9B7" w14:textId="77777777" w:rsidR="00156DDE" w:rsidRPr="00CC7DE6" w:rsidRDefault="00156DDE" w:rsidP="001F31DE">
      <w:pPr>
        <w:pStyle w:val="ListParagraph"/>
        <w:widowControl w:val="0"/>
        <w:tabs>
          <w:tab w:val="left" w:pos="510"/>
          <w:tab w:val="left" w:pos="1077"/>
          <w:tab w:val="left" w:pos="1797"/>
        </w:tabs>
        <w:autoSpaceDE w:val="0"/>
        <w:autoSpaceDN w:val="0"/>
        <w:spacing w:after="0" w:line="240" w:lineRule="auto"/>
        <w:ind w:left="510" w:right="112" w:hanging="510"/>
        <w:jc w:val="both"/>
        <w:rPr>
          <w:rFonts w:ascii="Arial" w:hAnsi="Arial" w:cs="Arial"/>
          <w:color w:val="000000" w:themeColor="text1"/>
          <w:sz w:val="24"/>
          <w:szCs w:val="24"/>
        </w:rPr>
      </w:pPr>
    </w:p>
    <w:p w14:paraId="6DE63164" w14:textId="6CC1AEDD" w:rsidR="00022A7B" w:rsidRPr="008550B4" w:rsidRDefault="008550B4" w:rsidP="001F31DE">
      <w:pPr>
        <w:widowControl w:val="0"/>
        <w:tabs>
          <w:tab w:val="left" w:pos="510"/>
          <w:tab w:val="left" w:pos="1077"/>
          <w:tab w:val="left" w:pos="1797"/>
        </w:tabs>
        <w:autoSpaceDE w:val="0"/>
        <w:autoSpaceDN w:val="0"/>
        <w:spacing w:after="0" w:line="240" w:lineRule="auto"/>
        <w:ind w:left="1077" w:right="120"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022A7B" w:rsidRPr="008550B4">
        <w:rPr>
          <w:rFonts w:ascii="Arial" w:hAnsi="Arial" w:cs="Arial"/>
          <w:color w:val="000000" w:themeColor="text1"/>
          <w:sz w:val="24"/>
          <w:szCs w:val="24"/>
        </w:rPr>
        <w:t>the claimant’s capability for work-related activity is limited by his or her physical or mental condition, and</w:t>
      </w:r>
    </w:p>
    <w:p w14:paraId="3301C735" w14:textId="77777777" w:rsidR="00156DDE" w:rsidRPr="00CC7DE6" w:rsidRDefault="00156DDE" w:rsidP="001F31DE">
      <w:pPr>
        <w:pStyle w:val="ListParagraph"/>
        <w:widowControl w:val="0"/>
        <w:tabs>
          <w:tab w:val="left" w:pos="510"/>
          <w:tab w:val="left" w:pos="1077"/>
          <w:tab w:val="left" w:pos="1797"/>
        </w:tabs>
        <w:autoSpaceDE w:val="0"/>
        <w:autoSpaceDN w:val="0"/>
        <w:spacing w:after="0" w:line="240" w:lineRule="auto"/>
        <w:ind w:left="1077" w:right="120" w:hanging="1077"/>
        <w:jc w:val="both"/>
        <w:rPr>
          <w:rFonts w:ascii="Arial" w:hAnsi="Arial" w:cs="Arial"/>
          <w:color w:val="000000" w:themeColor="text1"/>
          <w:sz w:val="24"/>
          <w:szCs w:val="24"/>
        </w:rPr>
      </w:pPr>
    </w:p>
    <w:p w14:paraId="66441C16" w14:textId="57ABB98B" w:rsidR="00022A7B" w:rsidRPr="008550B4" w:rsidRDefault="008550B4" w:rsidP="001F31DE">
      <w:pPr>
        <w:widowControl w:val="0"/>
        <w:tabs>
          <w:tab w:val="left" w:pos="510"/>
          <w:tab w:val="left" w:pos="1077"/>
          <w:tab w:val="left" w:pos="1797"/>
        </w:tabs>
        <w:autoSpaceDE w:val="0"/>
        <w:autoSpaceDN w:val="0"/>
        <w:spacing w:after="0" w:line="240" w:lineRule="auto"/>
        <w:ind w:left="1077" w:right="119"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022A7B" w:rsidRPr="008550B4">
        <w:rPr>
          <w:rFonts w:ascii="Arial" w:hAnsi="Arial" w:cs="Arial"/>
          <w:color w:val="000000" w:themeColor="text1"/>
          <w:sz w:val="24"/>
          <w:szCs w:val="24"/>
        </w:rPr>
        <w:t>the limitation is such that it is not reasonable to require the claimant to undertake work-related activity.</w:t>
      </w:r>
    </w:p>
    <w:p w14:paraId="5DF65E0B" w14:textId="77777777" w:rsidR="00156DDE" w:rsidRPr="00CC7DE6" w:rsidRDefault="00156DDE" w:rsidP="001F31DE">
      <w:pPr>
        <w:pStyle w:val="ListParagraph"/>
        <w:widowControl w:val="0"/>
        <w:tabs>
          <w:tab w:val="left" w:pos="510"/>
          <w:tab w:val="left" w:pos="1077"/>
          <w:tab w:val="left" w:pos="1797"/>
        </w:tabs>
        <w:autoSpaceDE w:val="0"/>
        <w:autoSpaceDN w:val="0"/>
        <w:spacing w:after="0" w:line="240" w:lineRule="auto"/>
        <w:ind w:left="510" w:right="119" w:hanging="510"/>
        <w:jc w:val="both"/>
        <w:rPr>
          <w:rFonts w:ascii="Arial" w:hAnsi="Arial" w:cs="Arial"/>
          <w:color w:val="000000" w:themeColor="text1"/>
          <w:sz w:val="24"/>
          <w:szCs w:val="24"/>
        </w:rPr>
      </w:pPr>
    </w:p>
    <w:p w14:paraId="4F82B4F8" w14:textId="604C55B7" w:rsidR="00022A7B" w:rsidRPr="00EF40A0" w:rsidRDefault="00EF40A0" w:rsidP="001F31DE">
      <w:pPr>
        <w:widowControl w:val="0"/>
        <w:tabs>
          <w:tab w:val="left" w:pos="510"/>
          <w:tab w:val="left" w:pos="1077"/>
          <w:tab w:val="left" w:pos="1797"/>
        </w:tabs>
        <w:autoSpaceDE w:val="0"/>
        <w:autoSpaceDN w:val="0"/>
        <w:spacing w:after="0" w:line="240" w:lineRule="auto"/>
        <w:ind w:left="510" w:right="114" w:hanging="510"/>
        <w:jc w:val="both"/>
        <w:rPr>
          <w:rFonts w:ascii="Arial" w:hAnsi="Arial" w:cs="Arial"/>
          <w:color w:val="000000" w:themeColor="text1"/>
          <w:sz w:val="24"/>
          <w:szCs w:val="24"/>
        </w:rPr>
      </w:pPr>
      <w:r>
        <w:rPr>
          <w:rFonts w:ascii="Arial" w:hAnsi="Arial" w:cs="Arial"/>
          <w:color w:val="000000" w:themeColor="text1"/>
          <w:sz w:val="24"/>
          <w:szCs w:val="24"/>
        </w:rPr>
        <w:tab/>
        <w:t>(2)</w:t>
      </w:r>
      <w:r>
        <w:rPr>
          <w:rFonts w:ascii="Arial" w:hAnsi="Arial" w:cs="Arial"/>
          <w:color w:val="000000" w:themeColor="text1"/>
          <w:sz w:val="24"/>
          <w:szCs w:val="24"/>
        </w:rPr>
        <w:tab/>
      </w:r>
      <w:r w:rsidR="00022A7B" w:rsidRPr="00EF40A0">
        <w:rPr>
          <w:rFonts w:ascii="Arial" w:hAnsi="Arial" w:cs="Arial"/>
          <w:color w:val="000000" w:themeColor="text1"/>
          <w:sz w:val="24"/>
          <w:szCs w:val="24"/>
        </w:rPr>
        <w:t>The question whether a claimant has limited capability for work or work-related activity for the purposes of this Part is to be determined in accordance with regulations.</w:t>
      </w:r>
    </w:p>
    <w:p w14:paraId="16CDAA09" w14:textId="77777777" w:rsidR="00EF40A0" w:rsidRPr="00EF40A0" w:rsidRDefault="00EF40A0" w:rsidP="001F31DE">
      <w:pPr>
        <w:widowControl w:val="0"/>
        <w:tabs>
          <w:tab w:val="left" w:pos="510"/>
          <w:tab w:val="left" w:pos="1077"/>
          <w:tab w:val="left" w:pos="1797"/>
        </w:tabs>
        <w:autoSpaceDE w:val="0"/>
        <w:autoSpaceDN w:val="0"/>
        <w:spacing w:after="0" w:line="240" w:lineRule="auto"/>
        <w:ind w:left="510" w:right="114" w:hanging="510"/>
        <w:jc w:val="both"/>
        <w:rPr>
          <w:rFonts w:ascii="Arial" w:hAnsi="Arial" w:cs="Arial"/>
          <w:color w:val="000000" w:themeColor="text1"/>
          <w:sz w:val="24"/>
          <w:szCs w:val="24"/>
        </w:rPr>
      </w:pPr>
    </w:p>
    <w:p w14:paraId="64657A4A" w14:textId="1A2DC2C5" w:rsidR="00022A7B" w:rsidRPr="00CC7DE6" w:rsidRDefault="00EF40A0" w:rsidP="001F31DE">
      <w:pPr>
        <w:tabs>
          <w:tab w:val="left" w:pos="510"/>
          <w:tab w:val="left" w:pos="1077"/>
          <w:tab w:val="left" w:pos="1797"/>
        </w:tabs>
        <w:spacing w:after="0" w:line="240" w:lineRule="auto"/>
        <w:ind w:left="510" w:hanging="510"/>
        <w:rPr>
          <w:rFonts w:ascii="Arial" w:hAnsi="Arial" w:cs="Arial"/>
          <w:color w:val="000000" w:themeColor="text1"/>
          <w:sz w:val="24"/>
          <w:szCs w:val="24"/>
        </w:rPr>
      </w:pPr>
      <w:r>
        <w:rPr>
          <w:rFonts w:ascii="Arial" w:hAnsi="Arial" w:cs="Arial"/>
          <w:color w:val="000000" w:themeColor="text1"/>
          <w:sz w:val="24"/>
          <w:szCs w:val="24"/>
        </w:rPr>
        <w:tab/>
      </w:r>
      <w:r w:rsidR="00022A7B" w:rsidRPr="00CC7DE6">
        <w:rPr>
          <w:rFonts w:ascii="Arial" w:hAnsi="Arial" w:cs="Arial"/>
          <w:color w:val="000000" w:themeColor="text1"/>
          <w:sz w:val="24"/>
          <w:szCs w:val="24"/>
        </w:rPr>
        <w:t>…</w:t>
      </w:r>
    </w:p>
    <w:p w14:paraId="24114DD0" w14:textId="77777777" w:rsidR="00022A7B" w:rsidRPr="00CC7DE6" w:rsidRDefault="00022A7B" w:rsidP="001F31DE">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46E2F1BD" w14:textId="354FA656" w:rsidR="0009475F" w:rsidRPr="00CC7DE6" w:rsidRDefault="00EF40A0" w:rsidP="001F31DE">
      <w:pPr>
        <w:tabs>
          <w:tab w:val="left" w:pos="510"/>
          <w:tab w:val="left" w:pos="1077"/>
          <w:tab w:val="left" w:pos="1797"/>
        </w:tabs>
        <w:spacing w:after="0" w:line="240" w:lineRule="auto"/>
        <w:ind w:left="510" w:right="47" w:hanging="51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14.</w:t>
      </w:r>
      <w:r>
        <w:rPr>
          <w:rFonts w:ascii="Arial" w:hAnsi="Arial" w:cs="Arial"/>
          <w:color w:val="000000" w:themeColor="text1"/>
          <w:sz w:val="24"/>
          <w:szCs w:val="24"/>
          <w:lang w:eastAsia="en-GB"/>
        </w:rPr>
        <w:tab/>
      </w:r>
      <w:r w:rsidR="00022A7B" w:rsidRPr="00CC7DE6">
        <w:rPr>
          <w:rFonts w:ascii="Arial" w:hAnsi="Arial" w:cs="Arial"/>
          <w:color w:val="000000" w:themeColor="text1"/>
          <w:sz w:val="24"/>
          <w:szCs w:val="24"/>
          <w:lang w:eastAsia="en-GB"/>
        </w:rPr>
        <w:t xml:space="preserve">The </w:t>
      </w:r>
      <w:r w:rsidR="0039686B" w:rsidRPr="00CC7DE6">
        <w:rPr>
          <w:rFonts w:ascii="Arial" w:hAnsi="Arial" w:cs="Arial"/>
          <w:color w:val="000000" w:themeColor="text1"/>
          <w:sz w:val="24"/>
          <w:szCs w:val="24"/>
          <w:lang w:eastAsia="en-GB"/>
        </w:rPr>
        <w:t>UC</w:t>
      </w:r>
      <w:r w:rsidR="00022A7B" w:rsidRPr="00CC7DE6">
        <w:rPr>
          <w:rFonts w:ascii="Arial" w:hAnsi="Arial" w:cs="Arial"/>
          <w:color w:val="000000" w:themeColor="text1"/>
          <w:sz w:val="24"/>
          <w:szCs w:val="24"/>
          <w:lang w:eastAsia="en-GB"/>
        </w:rPr>
        <w:t xml:space="preserve"> </w:t>
      </w:r>
      <w:r w:rsidR="00022A7B" w:rsidRPr="00CC7DE6">
        <w:rPr>
          <w:rFonts w:ascii="Arial" w:hAnsi="Arial" w:cs="Arial"/>
          <w:color w:val="000000" w:themeColor="text1"/>
          <w:sz w:val="24"/>
          <w:szCs w:val="24"/>
        </w:rPr>
        <w:t>Regulations further provide at Part V and Schedules 6 to 9 for determining if a claimant</w:t>
      </w:r>
      <w:r w:rsidR="00022A7B" w:rsidRPr="00CC7DE6">
        <w:rPr>
          <w:rFonts w:ascii="Arial" w:hAnsi="Arial" w:cs="Arial"/>
          <w:color w:val="000000" w:themeColor="text1"/>
          <w:sz w:val="24"/>
          <w:szCs w:val="24"/>
          <w:lang w:eastAsia="en-GB"/>
        </w:rPr>
        <w:t xml:space="preserve"> has limited capability for work</w:t>
      </w:r>
      <w:r w:rsidR="0039686B" w:rsidRPr="00CC7DE6">
        <w:rPr>
          <w:rFonts w:ascii="Arial" w:hAnsi="Arial" w:cs="Arial"/>
          <w:color w:val="000000" w:themeColor="text1"/>
          <w:sz w:val="24"/>
          <w:szCs w:val="24"/>
          <w:lang w:eastAsia="en-GB"/>
        </w:rPr>
        <w:t xml:space="preserve"> </w:t>
      </w:r>
      <w:r w:rsidR="00674E2F" w:rsidRPr="00CC7DE6">
        <w:rPr>
          <w:rFonts w:ascii="Arial" w:hAnsi="Arial" w:cs="Arial"/>
          <w:color w:val="000000" w:themeColor="text1"/>
          <w:sz w:val="24"/>
          <w:szCs w:val="24"/>
          <w:lang w:eastAsia="en-GB"/>
        </w:rPr>
        <w:t>and</w:t>
      </w:r>
      <w:r w:rsidR="0039686B" w:rsidRPr="00CC7DE6">
        <w:rPr>
          <w:rFonts w:ascii="Arial" w:hAnsi="Arial" w:cs="Arial"/>
          <w:color w:val="000000" w:themeColor="text1"/>
          <w:sz w:val="24"/>
          <w:szCs w:val="24"/>
          <w:lang w:eastAsia="en-GB"/>
        </w:rPr>
        <w:t xml:space="preserve"> limited capability for work</w:t>
      </w:r>
      <w:r w:rsidR="00674E2F" w:rsidRPr="00CC7DE6">
        <w:rPr>
          <w:rFonts w:ascii="Arial" w:hAnsi="Arial" w:cs="Arial"/>
          <w:color w:val="000000" w:themeColor="text1"/>
          <w:sz w:val="24"/>
          <w:szCs w:val="24"/>
          <w:lang w:eastAsia="en-GB"/>
        </w:rPr>
        <w:t>-</w:t>
      </w:r>
      <w:r w:rsidR="0039686B" w:rsidRPr="00CC7DE6">
        <w:rPr>
          <w:rFonts w:ascii="Arial" w:hAnsi="Arial" w:cs="Arial"/>
          <w:color w:val="000000" w:themeColor="text1"/>
          <w:sz w:val="24"/>
          <w:szCs w:val="24"/>
          <w:lang w:eastAsia="en-GB"/>
        </w:rPr>
        <w:t>related activity</w:t>
      </w:r>
      <w:r w:rsidR="00022A7B" w:rsidRPr="00CC7DE6">
        <w:rPr>
          <w:rFonts w:ascii="Arial" w:hAnsi="Arial" w:cs="Arial"/>
          <w:color w:val="000000" w:themeColor="text1"/>
          <w:sz w:val="24"/>
          <w:szCs w:val="24"/>
          <w:lang w:eastAsia="en-GB"/>
        </w:rPr>
        <w:t>.</w:t>
      </w:r>
    </w:p>
    <w:p w14:paraId="0B60BCF3" w14:textId="77777777" w:rsidR="0009475F" w:rsidRPr="00CC7DE6" w:rsidRDefault="0009475F" w:rsidP="001F31DE">
      <w:pPr>
        <w:tabs>
          <w:tab w:val="left" w:pos="510"/>
          <w:tab w:val="left" w:pos="1077"/>
          <w:tab w:val="left" w:pos="1797"/>
        </w:tabs>
        <w:spacing w:after="0" w:line="240" w:lineRule="auto"/>
        <w:ind w:left="510" w:right="47" w:hanging="510"/>
        <w:rPr>
          <w:rFonts w:ascii="Arial" w:hAnsi="Arial" w:cs="Arial"/>
          <w:color w:val="000000" w:themeColor="text1"/>
          <w:sz w:val="24"/>
          <w:szCs w:val="24"/>
          <w:lang w:eastAsia="en-GB"/>
        </w:rPr>
      </w:pPr>
    </w:p>
    <w:p w14:paraId="193D6F3A" w14:textId="0A12DB98" w:rsidR="0009475F" w:rsidRPr="00CC7DE6" w:rsidRDefault="00EF40A0" w:rsidP="001F31DE">
      <w:pPr>
        <w:tabs>
          <w:tab w:val="left" w:pos="510"/>
          <w:tab w:val="left" w:pos="1077"/>
          <w:tab w:val="left" w:pos="1797"/>
        </w:tabs>
        <w:spacing w:after="0" w:line="240" w:lineRule="auto"/>
        <w:ind w:left="510" w:right="47" w:hanging="510"/>
        <w:jc w:val="both"/>
        <w:rPr>
          <w:rFonts w:ascii="Arial" w:hAnsi="Arial" w:cs="Arial"/>
          <w:color w:val="000000" w:themeColor="text1"/>
          <w:sz w:val="24"/>
          <w:szCs w:val="24"/>
          <w:lang w:eastAsia="en-GB"/>
        </w:rPr>
      </w:pPr>
      <w:r>
        <w:rPr>
          <w:rFonts w:ascii="Arial" w:hAnsi="Arial" w:cs="Arial"/>
          <w:color w:val="000000" w:themeColor="text1"/>
          <w:sz w:val="24"/>
          <w:szCs w:val="24"/>
          <w:lang w:eastAsia="en-GB"/>
        </w:rPr>
        <w:t>15.</w:t>
      </w:r>
      <w:r>
        <w:rPr>
          <w:rFonts w:ascii="Arial" w:hAnsi="Arial" w:cs="Arial"/>
          <w:color w:val="000000" w:themeColor="text1"/>
          <w:sz w:val="24"/>
          <w:szCs w:val="24"/>
          <w:lang w:eastAsia="en-GB"/>
        </w:rPr>
        <w:tab/>
      </w:r>
      <w:r w:rsidR="00022A7B" w:rsidRPr="00CC7DE6">
        <w:rPr>
          <w:rFonts w:ascii="Arial" w:hAnsi="Arial" w:cs="Arial"/>
          <w:color w:val="000000" w:themeColor="text1"/>
          <w:sz w:val="24"/>
          <w:szCs w:val="24"/>
          <w:lang w:eastAsia="en-GB"/>
        </w:rPr>
        <w:t xml:space="preserve">Regulation 40 </w:t>
      </w:r>
      <w:r w:rsidR="00022A7B" w:rsidRPr="00CC7DE6">
        <w:rPr>
          <w:rFonts w:ascii="Arial" w:hAnsi="Arial" w:cs="Arial"/>
          <w:color w:val="000000" w:themeColor="text1"/>
          <w:sz w:val="24"/>
          <w:szCs w:val="24"/>
        </w:rPr>
        <w:t>provides for a specific test of limited capability for work.</w:t>
      </w:r>
      <w:r w:rsidR="0058021B"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58021B" w:rsidRPr="00CC7DE6">
        <w:rPr>
          <w:rFonts w:ascii="Arial" w:hAnsi="Arial" w:cs="Arial"/>
          <w:color w:val="000000" w:themeColor="text1"/>
          <w:sz w:val="24"/>
          <w:szCs w:val="24"/>
        </w:rPr>
        <w:t xml:space="preserve">Within Schedule 6 there are ten physical activities (including functions such as mobilising) and seven mental activities (including functions such as learning tasks). </w:t>
      </w:r>
      <w:r>
        <w:rPr>
          <w:rFonts w:ascii="Arial" w:hAnsi="Arial" w:cs="Arial"/>
          <w:color w:val="000000" w:themeColor="text1"/>
          <w:sz w:val="24"/>
          <w:szCs w:val="24"/>
        </w:rPr>
        <w:t xml:space="preserve"> </w:t>
      </w:r>
      <w:r w:rsidR="0058021B" w:rsidRPr="00CC7DE6">
        <w:rPr>
          <w:rFonts w:ascii="Arial" w:hAnsi="Arial" w:cs="Arial"/>
          <w:color w:val="000000" w:themeColor="text1"/>
          <w:sz w:val="24"/>
          <w:szCs w:val="24"/>
        </w:rPr>
        <w:t>Each activity is subdivided into a set of scoring descriptors that lead to an award of points.</w:t>
      </w:r>
      <w:r>
        <w:rPr>
          <w:rFonts w:ascii="Arial" w:hAnsi="Arial" w:cs="Arial"/>
          <w:color w:val="000000" w:themeColor="text1"/>
          <w:sz w:val="24"/>
          <w:szCs w:val="24"/>
        </w:rPr>
        <w:t xml:space="preserve"> </w:t>
      </w:r>
      <w:r w:rsidR="0058021B" w:rsidRPr="00CC7DE6">
        <w:rPr>
          <w:rFonts w:ascii="Arial" w:hAnsi="Arial" w:cs="Arial"/>
          <w:color w:val="000000" w:themeColor="text1"/>
          <w:sz w:val="24"/>
          <w:szCs w:val="24"/>
        </w:rPr>
        <w:t xml:space="preserve"> However, as the issue of limited capability for work is not in dispute in the present case</w:t>
      </w:r>
      <w:r w:rsidR="00E32EF3" w:rsidRPr="00CC7DE6">
        <w:rPr>
          <w:rFonts w:ascii="Arial" w:hAnsi="Arial" w:cs="Arial"/>
          <w:color w:val="000000" w:themeColor="text1"/>
          <w:sz w:val="24"/>
          <w:szCs w:val="24"/>
        </w:rPr>
        <w:t>,</w:t>
      </w:r>
      <w:r w:rsidR="0058021B" w:rsidRPr="00CC7DE6">
        <w:rPr>
          <w:rFonts w:ascii="Arial" w:hAnsi="Arial" w:cs="Arial"/>
          <w:color w:val="000000" w:themeColor="text1"/>
          <w:sz w:val="24"/>
          <w:szCs w:val="24"/>
        </w:rPr>
        <w:t xml:space="preserve"> I will omit the relevant text.</w:t>
      </w:r>
    </w:p>
    <w:p w14:paraId="64E0B958" w14:textId="77777777" w:rsidR="0009475F" w:rsidRPr="00CC7DE6" w:rsidRDefault="0009475F" w:rsidP="001F31D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1C33446E" w14:textId="0CD5CB49" w:rsidR="0058021B" w:rsidRPr="00CC7DE6" w:rsidRDefault="001F31DE" w:rsidP="001F31DE">
      <w:pPr>
        <w:tabs>
          <w:tab w:val="left" w:pos="510"/>
          <w:tab w:val="left" w:pos="1077"/>
          <w:tab w:val="left" w:pos="1797"/>
        </w:tabs>
        <w:spacing w:after="0" w:line="240" w:lineRule="auto"/>
        <w:ind w:left="510" w:right="47" w:hanging="510"/>
        <w:jc w:val="both"/>
        <w:rPr>
          <w:rFonts w:ascii="Arial" w:hAnsi="Arial" w:cs="Arial"/>
          <w:color w:val="000000" w:themeColor="text1"/>
          <w:sz w:val="24"/>
          <w:szCs w:val="24"/>
          <w:lang w:eastAsia="en-GB"/>
        </w:rPr>
      </w:pPr>
      <w:r>
        <w:rPr>
          <w:rFonts w:ascii="Arial" w:hAnsi="Arial" w:cs="Arial"/>
          <w:color w:val="000000" w:themeColor="text1"/>
          <w:sz w:val="24"/>
          <w:szCs w:val="24"/>
        </w:rPr>
        <w:t>16.</w:t>
      </w:r>
      <w:r>
        <w:rPr>
          <w:rFonts w:ascii="Arial" w:hAnsi="Arial" w:cs="Arial"/>
          <w:color w:val="000000" w:themeColor="text1"/>
          <w:sz w:val="24"/>
          <w:szCs w:val="24"/>
        </w:rPr>
        <w:tab/>
      </w:r>
      <w:r w:rsidR="0058021B" w:rsidRPr="00CC7DE6">
        <w:rPr>
          <w:rFonts w:ascii="Arial" w:hAnsi="Arial" w:cs="Arial"/>
          <w:color w:val="000000" w:themeColor="text1"/>
          <w:sz w:val="24"/>
          <w:szCs w:val="24"/>
        </w:rPr>
        <w:t xml:space="preserve">Regulation 41 provides for a specific test of limited capability for work and work-related activity. </w:t>
      </w:r>
      <w:r>
        <w:rPr>
          <w:rFonts w:ascii="Arial" w:hAnsi="Arial" w:cs="Arial"/>
          <w:color w:val="000000" w:themeColor="text1"/>
          <w:sz w:val="24"/>
          <w:szCs w:val="24"/>
        </w:rPr>
        <w:t xml:space="preserve"> </w:t>
      </w:r>
      <w:r w:rsidR="0058021B" w:rsidRPr="00CC7DE6">
        <w:rPr>
          <w:rFonts w:ascii="Arial" w:hAnsi="Arial" w:cs="Arial"/>
          <w:color w:val="000000" w:themeColor="text1"/>
          <w:sz w:val="24"/>
          <w:szCs w:val="24"/>
        </w:rPr>
        <w:t>Within Schedule 7 are 16 activities</w:t>
      </w:r>
      <w:r w:rsidR="00DF3C36" w:rsidRPr="00CC7DE6">
        <w:rPr>
          <w:rFonts w:ascii="Arial" w:hAnsi="Arial" w:cs="Arial"/>
          <w:color w:val="000000" w:themeColor="text1"/>
          <w:sz w:val="24"/>
          <w:szCs w:val="24"/>
        </w:rPr>
        <w:t>, many of which equate to the highest s</w:t>
      </w:r>
      <w:r w:rsidR="0058021B" w:rsidRPr="00CC7DE6">
        <w:rPr>
          <w:rFonts w:ascii="Arial" w:hAnsi="Arial" w:cs="Arial"/>
          <w:color w:val="000000" w:themeColor="text1"/>
          <w:sz w:val="24"/>
          <w:szCs w:val="24"/>
        </w:rPr>
        <w:t xml:space="preserve">coring descriptors that </w:t>
      </w:r>
      <w:r w:rsidR="00DF3C36" w:rsidRPr="00CC7DE6">
        <w:rPr>
          <w:rFonts w:ascii="Arial" w:hAnsi="Arial" w:cs="Arial"/>
          <w:color w:val="000000" w:themeColor="text1"/>
          <w:sz w:val="24"/>
          <w:szCs w:val="24"/>
        </w:rPr>
        <w:t xml:space="preserve">apply in the Schedule 6 activities, and some of which are different. </w:t>
      </w:r>
      <w:r>
        <w:rPr>
          <w:rFonts w:ascii="Arial" w:hAnsi="Arial" w:cs="Arial"/>
          <w:color w:val="000000" w:themeColor="text1"/>
          <w:sz w:val="24"/>
          <w:szCs w:val="24"/>
        </w:rPr>
        <w:t xml:space="preserve"> </w:t>
      </w:r>
      <w:r w:rsidR="00DF3C36" w:rsidRPr="00CC7DE6">
        <w:rPr>
          <w:rFonts w:ascii="Arial" w:hAnsi="Arial" w:cs="Arial"/>
          <w:color w:val="000000" w:themeColor="text1"/>
          <w:sz w:val="24"/>
          <w:szCs w:val="24"/>
        </w:rPr>
        <w:t>It is sufficient to satisfy the requirement of one of the descriptors</w:t>
      </w:r>
      <w:r w:rsidR="0058021B"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DF3C36" w:rsidRPr="00CC7DE6">
        <w:rPr>
          <w:rFonts w:ascii="Arial" w:hAnsi="Arial" w:cs="Arial"/>
          <w:color w:val="000000" w:themeColor="text1"/>
          <w:sz w:val="24"/>
          <w:szCs w:val="24"/>
        </w:rPr>
        <w:t xml:space="preserve">Provision is also made for treating a claimant has having limited capability for work and work-related activity in the circumstances prescribed in Schedule 9. </w:t>
      </w:r>
      <w:r>
        <w:rPr>
          <w:rFonts w:ascii="Arial" w:hAnsi="Arial" w:cs="Arial"/>
          <w:color w:val="000000" w:themeColor="text1"/>
          <w:sz w:val="24"/>
          <w:szCs w:val="24"/>
        </w:rPr>
        <w:t xml:space="preserve"> </w:t>
      </w:r>
      <w:r w:rsidR="0058021B" w:rsidRPr="00CC7DE6">
        <w:rPr>
          <w:rFonts w:ascii="Arial" w:hAnsi="Arial" w:cs="Arial"/>
          <w:color w:val="000000" w:themeColor="text1"/>
          <w:sz w:val="24"/>
          <w:szCs w:val="24"/>
        </w:rPr>
        <w:t xml:space="preserve">So far as </w:t>
      </w:r>
      <w:r w:rsidR="00792ECB" w:rsidRPr="00CC7DE6">
        <w:rPr>
          <w:rFonts w:ascii="Arial" w:hAnsi="Arial" w:cs="Arial"/>
          <w:color w:val="000000" w:themeColor="text1"/>
          <w:sz w:val="24"/>
          <w:szCs w:val="24"/>
        </w:rPr>
        <w:t xml:space="preserve">is relevant for present purposes, Regulation 41 </w:t>
      </w:r>
      <w:r w:rsidR="00DF3C36" w:rsidRPr="00CC7DE6">
        <w:rPr>
          <w:rFonts w:ascii="Arial" w:hAnsi="Arial" w:cs="Arial"/>
          <w:color w:val="000000" w:themeColor="text1"/>
          <w:sz w:val="24"/>
          <w:szCs w:val="24"/>
        </w:rPr>
        <w:t xml:space="preserve">and Schedule 9 </w:t>
      </w:r>
      <w:r w:rsidR="00792ECB" w:rsidRPr="00CC7DE6">
        <w:rPr>
          <w:rFonts w:ascii="Arial" w:hAnsi="Arial" w:cs="Arial"/>
          <w:color w:val="000000" w:themeColor="text1"/>
          <w:sz w:val="24"/>
          <w:szCs w:val="24"/>
        </w:rPr>
        <w:t>provide:</w:t>
      </w:r>
    </w:p>
    <w:p w14:paraId="75D4F32B"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581B634" w14:textId="00E45E6E" w:rsidR="00792ECB"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41.</w:t>
      </w:r>
      <w:proofErr w:type="gramStart"/>
      <w:r w:rsidR="003D232F" w:rsidRPr="00CC7DE6">
        <w:rPr>
          <w:rFonts w:ascii="Arial" w:hAnsi="Arial" w:cs="Arial"/>
          <w:color w:val="000000" w:themeColor="text1"/>
          <w:sz w:val="24"/>
          <w:szCs w:val="24"/>
        </w:rPr>
        <w:t>—(</w:t>
      </w:r>
      <w:proofErr w:type="gramEnd"/>
      <w:r w:rsidR="003D232F" w:rsidRPr="00CC7DE6">
        <w:rPr>
          <w:rFonts w:ascii="Arial" w:hAnsi="Arial" w:cs="Arial"/>
          <w:color w:val="000000" w:themeColor="text1"/>
          <w:sz w:val="24"/>
          <w:szCs w:val="24"/>
        </w:rPr>
        <w:t xml:space="preserve">1) A claimant has limited capability for work and work-related activity if— </w:t>
      </w:r>
    </w:p>
    <w:p w14:paraId="5C37ACD9"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EEEF75E" w14:textId="36B64EC3" w:rsidR="00792ECB"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 xml:space="preserve">(a) it has been determined that— </w:t>
      </w:r>
    </w:p>
    <w:p w14:paraId="1094B8A1"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47BA60C" w14:textId="69545070" w:rsidR="00792ECB" w:rsidRDefault="001F31DE" w:rsidP="001F31DE">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w:t>
      </w:r>
      <w:proofErr w:type="spellStart"/>
      <w:r w:rsidR="003D232F" w:rsidRPr="00CC7DE6">
        <w:rPr>
          <w:rFonts w:ascii="Arial" w:hAnsi="Arial" w:cs="Arial"/>
          <w:color w:val="000000" w:themeColor="text1"/>
          <w:sz w:val="24"/>
          <w:szCs w:val="24"/>
        </w:rPr>
        <w:t>i</w:t>
      </w:r>
      <w:proofErr w:type="spellEnd"/>
      <w:r w:rsidR="003D232F" w:rsidRPr="00CC7DE6">
        <w:rPr>
          <w:rFonts w:ascii="Arial" w:hAnsi="Arial" w:cs="Arial"/>
          <w:color w:val="000000" w:themeColor="text1"/>
          <w:sz w:val="24"/>
          <w:szCs w:val="24"/>
        </w:rPr>
        <w:t xml:space="preserve">) the claimant has limited capability for work and work-related activity </w:t>
      </w:r>
      <w:proofErr w:type="gramStart"/>
      <w:r w:rsidR="003D232F" w:rsidRPr="00CC7DE6">
        <w:rPr>
          <w:rFonts w:ascii="Arial" w:hAnsi="Arial" w:cs="Arial"/>
          <w:color w:val="000000" w:themeColor="text1"/>
          <w:sz w:val="24"/>
          <w:szCs w:val="24"/>
        </w:rPr>
        <w:t>on the basis of</w:t>
      </w:r>
      <w:proofErr w:type="gramEnd"/>
      <w:r w:rsidR="003D232F" w:rsidRPr="00CC7DE6">
        <w:rPr>
          <w:rFonts w:ascii="Arial" w:hAnsi="Arial" w:cs="Arial"/>
          <w:color w:val="000000" w:themeColor="text1"/>
          <w:sz w:val="24"/>
          <w:szCs w:val="24"/>
        </w:rPr>
        <w:t xml:space="preserve"> an assessment under this Part, or</w:t>
      </w:r>
    </w:p>
    <w:p w14:paraId="61664517" w14:textId="77777777" w:rsidR="001F31DE" w:rsidRPr="00CC7DE6" w:rsidRDefault="001F31DE" w:rsidP="001F31DE">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069DDE9F" w14:textId="4A383050" w:rsidR="00792ECB" w:rsidRPr="00CC7DE6" w:rsidRDefault="001F31DE" w:rsidP="001F31DE">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 xml:space="preserve">(ii) the claimant has limited capability for work-related activity </w:t>
      </w:r>
      <w:proofErr w:type="gramStart"/>
      <w:r w:rsidR="003D232F" w:rsidRPr="00CC7DE6">
        <w:rPr>
          <w:rFonts w:ascii="Arial" w:hAnsi="Arial" w:cs="Arial"/>
          <w:color w:val="000000" w:themeColor="text1"/>
          <w:sz w:val="24"/>
          <w:szCs w:val="24"/>
        </w:rPr>
        <w:t>on the basis of</w:t>
      </w:r>
      <w:proofErr w:type="gramEnd"/>
      <w:r w:rsidR="003D232F" w:rsidRPr="00CC7DE6">
        <w:rPr>
          <w:rFonts w:ascii="Arial" w:hAnsi="Arial" w:cs="Arial"/>
          <w:color w:val="000000" w:themeColor="text1"/>
          <w:sz w:val="24"/>
          <w:szCs w:val="24"/>
        </w:rPr>
        <w:t xml:space="preserve"> an assessment under Part 5 of the ESA Regulations, or</w:t>
      </w:r>
    </w:p>
    <w:p w14:paraId="71723F71"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6F8CF68" w14:textId="6835A182" w:rsidR="00792ECB" w:rsidRPr="00CC7DE6" w:rsidRDefault="001F31DE" w:rsidP="001F31DE">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(b) the claimant is to be treated as having limited capability for work and work-related activity (see paragraph (5)).</w:t>
      </w:r>
    </w:p>
    <w:p w14:paraId="52399E46"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779C6F0" w14:textId="6C81DE34" w:rsidR="00792ECB"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 xml:space="preserve">(2) A claimant has limited capability for work and work-related activity </w:t>
      </w:r>
      <w:proofErr w:type="gramStart"/>
      <w:r w:rsidR="003D232F" w:rsidRPr="00CC7DE6">
        <w:rPr>
          <w:rFonts w:ascii="Arial" w:hAnsi="Arial" w:cs="Arial"/>
          <w:color w:val="000000" w:themeColor="text1"/>
          <w:sz w:val="24"/>
          <w:szCs w:val="24"/>
        </w:rPr>
        <w:t>on the basis of</w:t>
      </w:r>
      <w:proofErr w:type="gramEnd"/>
      <w:r w:rsidR="003D232F" w:rsidRPr="00CC7DE6">
        <w:rPr>
          <w:rFonts w:ascii="Arial" w:hAnsi="Arial" w:cs="Arial"/>
          <w:color w:val="000000" w:themeColor="text1"/>
          <w:sz w:val="24"/>
          <w:szCs w:val="24"/>
        </w:rPr>
        <w:t xml:space="preserve"> an assessment under this Part if, by reason of the claimant’s physical or mental condition— </w:t>
      </w:r>
    </w:p>
    <w:p w14:paraId="65D1A10E"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61C74F2" w14:textId="67215EC7" w:rsidR="00792ECB" w:rsidRPr="00CC7DE6" w:rsidRDefault="001F31DE" w:rsidP="001F31DE">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(a) at least one of the descriptors set out in Schedule 7 applies to the claimant,</w:t>
      </w:r>
    </w:p>
    <w:p w14:paraId="7CBF401A" w14:textId="77777777" w:rsidR="00DF3C36" w:rsidRPr="00CC7DE6" w:rsidRDefault="00DF3C36" w:rsidP="001F31DE">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500B1DA1" w14:textId="5124F4ED" w:rsidR="00792ECB" w:rsidRPr="00CC7DE6" w:rsidRDefault="001F31DE" w:rsidP="001F31DE">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(b) the claimant’s capability for work and work-related activity is limited, and</w:t>
      </w:r>
    </w:p>
    <w:p w14:paraId="557C90D0" w14:textId="77777777" w:rsidR="00DF3C36" w:rsidRPr="00CC7DE6" w:rsidRDefault="00DF3C36" w:rsidP="001F31DE">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p>
    <w:p w14:paraId="26CC67E9" w14:textId="4BCE63FE" w:rsidR="00792ECB" w:rsidRPr="00CC7DE6" w:rsidRDefault="001F31DE" w:rsidP="001F31DE">
      <w:pPr>
        <w:tabs>
          <w:tab w:val="left" w:pos="510"/>
          <w:tab w:val="left" w:pos="1077"/>
          <w:tab w:val="left" w:pos="1797"/>
        </w:tabs>
        <w:spacing w:after="0" w:line="240" w:lineRule="auto"/>
        <w:ind w:left="1077" w:hanging="107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3D232F" w:rsidRPr="00CC7DE6">
        <w:rPr>
          <w:rFonts w:ascii="Arial" w:hAnsi="Arial" w:cs="Arial"/>
          <w:color w:val="000000" w:themeColor="text1"/>
          <w:sz w:val="24"/>
          <w:szCs w:val="24"/>
        </w:rPr>
        <w:t>(c) the limitation is such that it is not reasonable to require that claimant to undertake such activity.</w:t>
      </w:r>
    </w:p>
    <w:p w14:paraId="0ABB2226" w14:textId="77777777" w:rsidR="00DF3C36" w:rsidRPr="00CC7DE6" w:rsidRDefault="00DF3C36"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819D0BD" w14:textId="47DEE9CE" w:rsidR="00792ECB"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 xml:space="preserve">(3) </w:t>
      </w:r>
      <w:r w:rsidR="006B75D0" w:rsidRPr="00CC7DE6">
        <w:rPr>
          <w:rFonts w:ascii="Arial" w:hAnsi="Arial" w:cs="Arial"/>
          <w:color w:val="000000" w:themeColor="text1"/>
          <w:sz w:val="24"/>
          <w:szCs w:val="24"/>
        </w:rPr>
        <w:t>…</w:t>
      </w:r>
    </w:p>
    <w:p w14:paraId="2169C0B3" w14:textId="77777777" w:rsidR="006B75D0" w:rsidRPr="00CC7DE6" w:rsidRDefault="006B75D0"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11244ED" w14:textId="4D90B0F6" w:rsidR="00792ECB"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(5) Subject to paragraph (6), a claimant is to be treated as having limited capability for work and work-related activity if any of the circumstances set out in Schedule 9 applies.</w:t>
      </w:r>
    </w:p>
    <w:p w14:paraId="64EB3740" w14:textId="77777777" w:rsidR="006B75D0" w:rsidRPr="00CC7DE6" w:rsidRDefault="006B75D0"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EB37588" w14:textId="42E1A0B0" w:rsidR="003D232F"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(6) Where the circumstances set out in paragraph 4 of Schedule 9 apply, a claimant may only be treated as having limited capability for work and work-related activity if the claimant does not have limited capability for work and work-related activity as determined in accordance with an assessment under this Part.</w:t>
      </w:r>
    </w:p>
    <w:p w14:paraId="35B0AFBC" w14:textId="77777777" w:rsidR="003D232F" w:rsidRPr="00CC7DE6" w:rsidRDefault="003D232F"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6528428" w14:textId="7F53F035" w:rsidR="006B75D0"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17.</w:t>
      </w:r>
      <w:r>
        <w:rPr>
          <w:rFonts w:ascii="Arial" w:hAnsi="Arial" w:cs="Arial"/>
          <w:color w:val="000000" w:themeColor="text1"/>
          <w:sz w:val="24"/>
          <w:szCs w:val="24"/>
        </w:rPr>
        <w:tab/>
      </w:r>
      <w:r w:rsidR="006B75D0" w:rsidRPr="00CC7DE6">
        <w:rPr>
          <w:rFonts w:ascii="Arial" w:hAnsi="Arial" w:cs="Arial"/>
          <w:color w:val="000000" w:themeColor="text1"/>
          <w:sz w:val="24"/>
          <w:szCs w:val="24"/>
        </w:rPr>
        <w:t xml:space="preserve">By </w:t>
      </w:r>
      <w:r w:rsidR="003D232F" w:rsidRPr="00CC7DE6">
        <w:rPr>
          <w:rFonts w:ascii="Arial" w:hAnsi="Arial" w:cs="Arial"/>
          <w:color w:val="000000" w:themeColor="text1"/>
          <w:sz w:val="24"/>
          <w:szCs w:val="24"/>
        </w:rPr>
        <w:t>S</w:t>
      </w:r>
      <w:r w:rsidR="006B75D0" w:rsidRPr="00CC7DE6">
        <w:rPr>
          <w:rFonts w:ascii="Arial" w:hAnsi="Arial" w:cs="Arial"/>
          <w:color w:val="000000" w:themeColor="text1"/>
          <w:sz w:val="24"/>
          <w:szCs w:val="24"/>
        </w:rPr>
        <w:t xml:space="preserve">chedule </w:t>
      </w:r>
      <w:r w:rsidR="003D232F" w:rsidRPr="00CC7DE6">
        <w:rPr>
          <w:rFonts w:ascii="Arial" w:hAnsi="Arial" w:cs="Arial"/>
          <w:color w:val="000000" w:themeColor="text1"/>
          <w:sz w:val="24"/>
          <w:szCs w:val="24"/>
        </w:rPr>
        <w:t>9</w:t>
      </w:r>
      <w:r w:rsidR="006B75D0" w:rsidRPr="00CC7DE6">
        <w:rPr>
          <w:rFonts w:ascii="Arial" w:hAnsi="Arial" w:cs="Arial"/>
          <w:color w:val="000000" w:themeColor="text1"/>
          <w:sz w:val="24"/>
          <w:szCs w:val="24"/>
        </w:rPr>
        <w:t>, provision is made for the c</w:t>
      </w:r>
      <w:r w:rsidR="003D232F" w:rsidRPr="00CC7DE6">
        <w:rPr>
          <w:rFonts w:ascii="Arial" w:hAnsi="Arial" w:cs="Arial"/>
          <w:color w:val="000000" w:themeColor="text1"/>
          <w:sz w:val="24"/>
          <w:szCs w:val="24"/>
        </w:rPr>
        <w:t>ircumstances in which a claimant is to be treated as having limited capability for work and work-related activity</w:t>
      </w:r>
      <w:r w:rsidR="006B75D0" w:rsidRPr="00CC7DE6">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6B75D0" w:rsidRPr="00CC7DE6">
        <w:rPr>
          <w:rFonts w:ascii="Arial" w:hAnsi="Arial" w:cs="Arial"/>
          <w:color w:val="000000" w:themeColor="text1"/>
          <w:sz w:val="24"/>
          <w:szCs w:val="24"/>
        </w:rPr>
        <w:t>The relevant paragraph for present purposes is paragraph 4, which provides:</w:t>
      </w:r>
    </w:p>
    <w:p w14:paraId="36A4C999" w14:textId="52331EFC" w:rsidR="007B6629" w:rsidRPr="00CC7DE6" w:rsidRDefault="007B6629"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AD6CEF7" w14:textId="27EA4C17" w:rsidR="00DF3C36"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Risk to self or others</w:t>
      </w:r>
    </w:p>
    <w:p w14:paraId="4DCED882" w14:textId="77777777" w:rsidR="006B75D0" w:rsidRPr="00CC7DE6" w:rsidRDefault="006B75D0"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354D9F5" w14:textId="5B858F72" w:rsidR="00DF3C36" w:rsidRPr="00CC7DE6" w:rsidRDefault="001F31DE" w:rsidP="001F31D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3D232F" w:rsidRPr="00CC7DE6">
        <w:rPr>
          <w:rFonts w:ascii="Arial" w:hAnsi="Arial" w:cs="Arial"/>
          <w:color w:val="000000" w:themeColor="text1"/>
          <w:sz w:val="24"/>
          <w:szCs w:val="24"/>
        </w:rPr>
        <w:t>4.</w:t>
      </w:r>
      <w:r w:rsidR="006B75D0" w:rsidRPr="00CC7DE6">
        <w:rPr>
          <w:rFonts w:ascii="Arial" w:hAnsi="Arial" w:cs="Arial"/>
          <w:color w:val="000000" w:themeColor="text1"/>
          <w:sz w:val="24"/>
          <w:szCs w:val="24"/>
        </w:rPr>
        <w:t xml:space="preserve"> </w:t>
      </w:r>
      <w:r w:rsidR="003D232F" w:rsidRPr="00CC7DE6">
        <w:rPr>
          <w:rFonts w:ascii="Arial" w:hAnsi="Arial" w:cs="Arial"/>
          <w:color w:val="000000" w:themeColor="text1"/>
          <w:sz w:val="24"/>
          <w:szCs w:val="24"/>
        </w:rPr>
        <w:t>The claimant is suffering from a specific illness, disease or disablement by reason of which there would be a substantial risk to the physical or mental health of any person were the claimant found not to have limited capability for work and work-related activity.</w:t>
      </w:r>
    </w:p>
    <w:p w14:paraId="393A409B" w14:textId="77777777" w:rsidR="006B75D0" w:rsidRPr="00CC7DE6" w:rsidRDefault="006B75D0" w:rsidP="001B4A23">
      <w:pPr>
        <w:tabs>
          <w:tab w:val="left" w:pos="510"/>
          <w:tab w:val="left" w:pos="1077"/>
          <w:tab w:val="left" w:pos="1797"/>
        </w:tabs>
        <w:spacing w:after="0" w:line="240" w:lineRule="auto"/>
        <w:jc w:val="both"/>
        <w:rPr>
          <w:rFonts w:ascii="Arial" w:hAnsi="Arial" w:cs="Arial"/>
          <w:color w:val="000000" w:themeColor="text1"/>
          <w:sz w:val="24"/>
          <w:szCs w:val="24"/>
        </w:rPr>
      </w:pPr>
    </w:p>
    <w:p w14:paraId="0ACD416B" w14:textId="33F2806E" w:rsidR="0020334F" w:rsidRPr="00CC7DE6" w:rsidRDefault="00C50F40" w:rsidP="001B4A23">
      <w:pPr>
        <w:tabs>
          <w:tab w:val="left" w:pos="510"/>
          <w:tab w:val="left" w:pos="1077"/>
          <w:tab w:val="left" w:pos="1797"/>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68284B" w:rsidRPr="00CC7DE6">
        <w:rPr>
          <w:rFonts w:ascii="Arial" w:hAnsi="Arial" w:cs="Arial"/>
          <w:b/>
          <w:color w:val="000000" w:themeColor="text1"/>
          <w:sz w:val="24"/>
          <w:szCs w:val="24"/>
        </w:rPr>
        <w:t>Submissions and assessment</w:t>
      </w:r>
    </w:p>
    <w:p w14:paraId="7F5367CE" w14:textId="77777777" w:rsidR="0020334F" w:rsidRPr="00C50F40" w:rsidRDefault="0020334F" w:rsidP="001B4A23">
      <w:pPr>
        <w:tabs>
          <w:tab w:val="left" w:pos="510"/>
          <w:tab w:val="left" w:pos="1077"/>
          <w:tab w:val="left" w:pos="1797"/>
        </w:tabs>
        <w:spacing w:after="0" w:line="240" w:lineRule="auto"/>
        <w:jc w:val="both"/>
        <w:rPr>
          <w:rFonts w:ascii="Arial" w:hAnsi="Arial" w:cs="Arial"/>
          <w:bCs/>
          <w:color w:val="000000" w:themeColor="text1"/>
          <w:sz w:val="24"/>
          <w:szCs w:val="24"/>
        </w:rPr>
      </w:pPr>
    </w:p>
    <w:p w14:paraId="3DC2440B" w14:textId="0667C241" w:rsidR="007839B1" w:rsidRPr="00CC7DE6" w:rsidRDefault="00C50F40"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18.</w:t>
      </w:r>
      <w:r>
        <w:rPr>
          <w:rFonts w:ascii="Arial" w:hAnsi="Arial" w:cs="Arial"/>
          <w:color w:val="000000" w:themeColor="text1"/>
          <w:sz w:val="24"/>
          <w:szCs w:val="24"/>
        </w:rPr>
        <w:tab/>
      </w:r>
      <w:r w:rsidR="003D232F" w:rsidRPr="00CC7DE6">
        <w:rPr>
          <w:rFonts w:ascii="Arial" w:hAnsi="Arial" w:cs="Arial"/>
          <w:color w:val="000000" w:themeColor="text1"/>
          <w:sz w:val="24"/>
          <w:szCs w:val="24"/>
        </w:rPr>
        <w:t xml:space="preserve">There are essentially two grounds </w:t>
      </w:r>
      <w:r w:rsidR="007E6D5C" w:rsidRPr="00CC7DE6">
        <w:rPr>
          <w:rFonts w:ascii="Arial" w:hAnsi="Arial" w:cs="Arial"/>
          <w:color w:val="000000" w:themeColor="text1"/>
          <w:sz w:val="24"/>
          <w:szCs w:val="24"/>
        </w:rPr>
        <w:t>before me</w:t>
      </w:r>
      <w:r w:rsidR="003D232F" w:rsidRPr="00CC7DE6">
        <w:rPr>
          <w:rFonts w:ascii="Arial" w:hAnsi="Arial" w:cs="Arial"/>
          <w:color w:val="000000" w:themeColor="text1"/>
          <w:sz w:val="24"/>
          <w:szCs w:val="24"/>
        </w:rPr>
        <w:t>.</w:t>
      </w:r>
      <w:r w:rsidR="00235CF8">
        <w:rPr>
          <w:rFonts w:ascii="Arial" w:hAnsi="Arial" w:cs="Arial"/>
          <w:color w:val="000000" w:themeColor="text1"/>
          <w:sz w:val="24"/>
          <w:szCs w:val="24"/>
        </w:rPr>
        <w:t xml:space="preserve"> </w:t>
      </w:r>
      <w:r w:rsidR="003D232F" w:rsidRPr="00CC7DE6">
        <w:rPr>
          <w:rFonts w:ascii="Arial" w:hAnsi="Arial" w:cs="Arial"/>
          <w:color w:val="000000" w:themeColor="text1"/>
          <w:sz w:val="24"/>
          <w:szCs w:val="24"/>
        </w:rPr>
        <w:t xml:space="preserve"> The first is that the tribunal has failed to address any information about the types of work-related activity that are available in the area where the appellant lives.</w:t>
      </w:r>
      <w:r w:rsidR="00235CF8">
        <w:rPr>
          <w:rFonts w:ascii="Arial" w:hAnsi="Arial" w:cs="Arial"/>
          <w:color w:val="000000" w:themeColor="text1"/>
          <w:sz w:val="24"/>
          <w:szCs w:val="24"/>
        </w:rPr>
        <w:t xml:space="preserve"> </w:t>
      </w:r>
      <w:r w:rsidR="003D232F" w:rsidRPr="00CC7DE6">
        <w:rPr>
          <w:rFonts w:ascii="Arial" w:hAnsi="Arial" w:cs="Arial"/>
          <w:color w:val="000000" w:themeColor="text1"/>
          <w:sz w:val="24"/>
          <w:szCs w:val="24"/>
        </w:rPr>
        <w:t xml:space="preserve"> </w:t>
      </w:r>
      <w:r w:rsidR="007E6D5C" w:rsidRPr="00CC7DE6">
        <w:rPr>
          <w:rFonts w:ascii="Arial" w:hAnsi="Arial" w:cs="Arial"/>
          <w:color w:val="000000" w:themeColor="text1"/>
          <w:sz w:val="24"/>
          <w:szCs w:val="24"/>
        </w:rPr>
        <w:t xml:space="preserve">Leave to appeal was granted by the LQM on this </w:t>
      </w:r>
      <w:r w:rsidR="007D318C" w:rsidRPr="00CC7DE6">
        <w:rPr>
          <w:rFonts w:ascii="Arial" w:hAnsi="Arial" w:cs="Arial"/>
          <w:color w:val="000000" w:themeColor="text1"/>
          <w:sz w:val="24"/>
          <w:szCs w:val="24"/>
        </w:rPr>
        <w:t>first ground</w:t>
      </w:r>
      <w:r w:rsidR="007E6D5C" w:rsidRPr="00CC7DE6">
        <w:rPr>
          <w:rFonts w:ascii="Arial" w:hAnsi="Arial" w:cs="Arial"/>
          <w:color w:val="000000" w:themeColor="text1"/>
          <w:sz w:val="24"/>
          <w:szCs w:val="24"/>
        </w:rPr>
        <w:t>.</w:t>
      </w:r>
    </w:p>
    <w:p w14:paraId="60B93DB9" w14:textId="77777777" w:rsidR="007839B1" w:rsidRPr="00CC7DE6" w:rsidRDefault="007839B1"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D81D958" w14:textId="7D487134" w:rsidR="007839B1" w:rsidRPr="00CC7DE6" w:rsidRDefault="00235CF8"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19.</w:t>
      </w:r>
      <w:r>
        <w:rPr>
          <w:rFonts w:ascii="Arial" w:hAnsi="Arial" w:cs="Arial"/>
          <w:color w:val="000000" w:themeColor="text1"/>
          <w:sz w:val="24"/>
          <w:szCs w:val="24"/>
        </w:rPr>
        <w:tab/>
      </w:r>
      <w:r w:rsidR="003D232F" w:rsidRPr="00CC7DE6">
        <w:rPr>
          <w:rFonts w:ascii="Arial" w:hAnsi="Arial" w:cs="Arial"/>
          <w:color w:val="000000" w:themeColor="text1"/>
          <w:sz w:val="24"/>
          <w:szCs w:val="24"/>
        </w:rPr>
        <w:t xml:space="preserve">The second </w:t>
      </w:r>
      <w:r w:rsidR="007E6D5C" w:rsidRPr="00CC7DE6">
        <w:rPr>
          <w:rFonts w:ascii="Arial" w:hAnsi="Arial" w:cs="Arial"/>
          <w:color w:val="000000" w:themeColor="text1"/>
          <w:sz w:val="24"/>
          <w:szCs w:val="24"/>
        </w:rPr>
        <w:t xml:space="preserve">ground </w:t>
      </w:r>
      <w:r w:rsidR="003D232F" w:rsidRPr="00CC7DE6">
        <w:rPr>
          <w:rFonts w:ascii="Arial" w:hAnsi="Arial" w:cs="Arial"/>
          <w:color w:val="000000" w:themeColor="text1"/>
          <w:sz w:val="24"/>
          <w:szCs w:val="24"/>
        </w:rPr>
        <w:t>is that</w:t>
      </w:r>
      <w:r w:rsidR="007D318C" w:rsidRPr="00CC7DE6">
        <w:rPr>
          <w:rFonts w:ascii="Arial" w:hAnsi="Arial" w:cs="Arial"/>
          <w:color w:val="000000" w:themeColor="text1"/>
          <w:sz w:val="24"/>
          <w:szCs w:val="24"/>
        </w:rPr>
        <w:t xml:space="preserve"> the tribunal failed to address </w:t>
      </w:r>
      <w:r w:rsidR="003D232F" w:rsidRPr="00CC7DE6">
        <w:rPr>
          <w:rFonts w:ascii="Arial" w:hAnsi="Arial" w:cs="Arial"/>
          <w:color w:val="000000" w:themeColor="text1"/>
          <w:sz w:val="24"/>
          <w:szCs w:val="24"/>
        </w:rPr>
        <w:t xml:space="preserve">the question of whether there would be a substantial risk to the physical or mental health of any person were the claimant found not to have limited capability for work and work-related activity. </w:t>
      </w:r>
      <w:r>
        <w:rPr>
          <w:rFonts w:ascii="Arial" w:hAnsi="Arial" w:cs="Arial"/>
          <w:color w:val="000000" w:themeColor="text1"/>
          <w:sz w:val="24"/>
          <w:szCs w:val="24"/>
        </w:rPr>
        <w:t xml:space="preserve"> </w:t>
      </w:r>
      <w:r w:rsidR="00286DA2" w:rsidRPr="00CC7DE6">
        <w:rPr>
          <w:rFonts w:ascii="Arial" w:hAnsi="Arial" w:cs="Arial"/>
          <w:color w:val="000000" w:themeColor="text1"/>
          <w:sz w:val="24"/>
          <w:szCs w:val="24"/>
        </w:rPr>
        <w:t>This</w:t>
      </w:r>
      <w:r w:rsidR="0067294D" w:rsidRPr="00CC7DE6">
        <w:rPr>
          <w:rFonts w:ascii="Arial" w:hAnsi="Arial" w:cs="Arial"/>
          <w:color w:val="000000" w:themeColor="text1"/>
          <w:sz w:val="24"/>
          <w:szCs w:val="24"/>
        </w:rPr>
        <w:t xml:space="preserve"> second ground</w:t>
      </w:r>
      <w:r w:rsidR="00286DA2" w:rsidRPr="00CC7DE6">
        <w:rPr>
          <w:rFonts w:ascii="Arial" w:hAnsi="Arial" w:cs="Arial"/>
          <w:color w:val="000000" w:themeColor="text1"/>
          <w:sz w:val="24"/>
          <w:szCs w:val="24"/>
        </w:rPr>
        <w:t xml:space="preserve"> is technically still a</w:t>
      </w:r>
      <w:r w:rsidR="0067294D" w:rsidRPr="00CC7DE6">
        <w:rPr>
          <w:rFonts w:ascii="Arial" w:hAnsi="Arial" w:cs="Arial"/>
          <w:color w:val="000000" w:themeColor="text1"/>
          <w:sz w:val="24"/>
          <w:szCs w:val="24"/>
        </w:rPr>
        <w:t>t the stage of an</w:t>
      </w:r>
      <w:r w:rsidR="00286DA2" w:rsidRPr="00CC7DE6">
        <w:rPr>
          <w:rFonts w:ascii="Arial" w:hAnsi="Arial" w:cs="Arial"/>
          <w:color w:val="000000" w:themeColor="text1"/>
          <w:sz w:val="24"/>
          <w:szCs w:val="24"/>
        </w:rPr>
        <w:t xml:space="preserve"> application for leave to appeal.</w:t>
      </w:r>
    </w:p>
    <w:p w14:paraId="397BD777" w14:textId="77777777" w:rsidR="007839B1" w:rsidRPr="00CC7DE6" w:rsidRDefault="007839B1" w:rsidP="00235CF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F05C98B" w14:textId="4E7AAE55" w:rsidR="007839B1" w:rsidRPr="00CC7DE6" w:rsidRDefault="00235CF8"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20.</w:t>
      </w:r>
      <w:r>
        <w:rPr>
          <w:rFonts w:ascii="Arial" w:hAnsi="Arial" w:cs="Arial"/>
          <w:color w:val="000000" w:themeColor="text1"/>
          <w:sz w:val="24"/>
          <w:szCs w:val="24"/>
        </w:rPr>
        <w:tab/>
      </w:r>
      <w:r w:rsidR="00286DA2" w:rsidRPr="00CC7DE6">
        <w:rPr>
          <w:rFonts w:ascii="Arial" w:hAnsi="Arial" w:cs="Arial"/>
          <w:color w:val="000000" w:themeColor="text1"/>
          <w:sz w:val="24"/>
          <w:szCs w:val="24"/>
        </w:rPr>
        <w:t>I will deal with the</w:t>
      </w:r>
      <w:r w:rsidR="007D318C" w:rsidRPr="00CC7DE6">
        <w:rPr>
          <w:rFonts w:ascii="Arial" w:hAnsi="Arial" w:cs="Arial"/>
          <w:color w:val="000000" w:themeColor="text1"/>
          <w:sz w:val="24"/>
          <w:szCs w:val="24"/>
        </w:rPr>
        <w:t xml:space="preserve"> latter ground - the</w:t>
      </w:r>
      <w:r w:rsidR="00286DA2" w:rsidRPr="00CC7DE6">
        <w:rPr>
          <w:rFonts w:ascii="Arial" w:hAnsi="Arial" w:cs="Arial"/>
          <w:color w:val="000000" w:themeColor="text1"/>
          <w:sz w:val="24"/>
          <w:szCs w:val="24"/>
        </w:rPr>
        <w:t xml:space="preserve"> application</w:t>
      </w:r>
      <w:r w:rsidR="007D318C" w:rsidRPr="00CC7DE6">
        <w:rPr>
          <w:rFonts w:ascii="Arial" w:hAnsi="Arial" w:cs="Arial"/>
          <w:color w:val="000000" w:themeColor="text1"/>
          <w:sz w:val="24"/>
          <w:szCs w:val="24"/>
        </w:rPr>
        <w:t xml:space="preserve"> -</w:t>
      </w:r>
      <w:r w:rsidR="00286DA2" w:rsidRPr="00CC7DE6">
        <w:rPr>
          <w:rFonts w:ascii="Arial" w:hAnsi="Arial" w:cs="Arial"/>
          <w:color w:val="000000" w:themeColor="text1"/>
          <w:sz w:val="24"/>
          <w:szCs w:val="24"/>
        </w:rPr>
        <w:t xml:space="preserve"> first. </w:t>
      </w:r>
      <w:r>
        <w:rPr>
          <w:rFonts w:ascii="Arial" w:hAnsi="Arial" w:cs="Arial"/>
          <w:color w:val="000000" w:themeColor="text1"/>
          <w:sz w:val="24"/>
          <w:szCs w:val="24"/>
        </w:rPr>
        <w:t xml:space="preserve"> </w:t>
      </w:r>
      <w:r w:rsidR="00286DA2" w:rsidRPr="00CC7DE6">
        <w:rPr>
          <w:rFonts w:ascii="Arial" w:hAnsi="Arial" w:cs="Arial"/>
          <w:color w:val="000000" w:themeColor="text1"/>
          <w:sz w:val="24"/>
          <w:szCs w:val="24"/>
        </w:rPr>
        <w:t xml:space="preserve">As I normally explain in my decisions, an appeal lies to a </w:t>
      </w:r>
      <w:proofErr w:type="gramStart"/>
      <w:r w:rsidR="00286DA2" w:rsidRPr="00CC7DE6">
        <w:rPr>
          <w:rFonts w:ascii="Arial" w:hAnsi="Arial" w:cs="Arial"/>
          <w:color w:val="000000" w:themeColor="text1"/>
          <w:sz w:val="24"/>
          <w:szCs w:val="24"/>
        </w:rPr>
        <w:t>Commissioner</w:t>
      </w:r>
      <w:proofErr w:type="gramEnd"/>
      <w:r w:rsidR="00286DA2" w:rsidRPr="00CC7DE6">
        <w:rPr>
          <w:rFonts w:ascii="Arial" w:hAnsi="Arial" w:cs="Arial"/>
          <w:color w:val="000000" w:themeColor="text1"/>
          <w:sz w:val="24"/>
          <w:szCs w:val="24"/>
        </w:rPr>
        <w:t xml:space="preserve"> from any decision of an appeal tribunal on the ground that the decision of the tribunal was erroneous in point of law. </w:t>
      </w:r>
      <w:r>
        <w:rPr>
          <w:rFonts w:ascii="Arial" w:hAnsi="Arial" w:cs="Arial"/>
          <w:color w:val="000000" w:themeColor="text1"/>
          <w:sz w:val="24"/>
          <w:szCs w:val="24"/>
        </w:rPr>
        <w:t xml:space="preserve"> </w:t>
      </w:r>
      <w:r w:rsidR="00286DA2" w:rsidRPr="00CC7DE6">
        <w:rPr>
          <w:rFonts w:ascii="Arial" w:hAnsi="Arial" w:cs="Arial"/>
          <w:color w:val="000000" w:themeColor="text1"/>
          <w:sz w:val="24"/>
          <w:szCs w:val="24"/>
        </w:rPr>
        <w:t>However, the party who wishes to bring an appeal must first obtain leave to appeal.</w:t>
      </w:r>
    </w:p>
    <w:p w14:paraId="7C11C71D" w14:textId="77777777" w:rsidR="007839B1" w:rsidRPr="00CC7DE6" w:rsidRDefault="007839B1" w:rsidP="00235CF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11099C5" w14:textId="4A4FAF85" w:rsidR="007839B1" w:rsidRPr="00CC7DE6" w:rsidRDefault="00235CF8"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21.</w:t>
      </w:r>
      <w:r>
        <w:rPr>
          <w:rFonts w:ascii="Arial" w:hAnsi="Arial" w:cs="Arial"/>
          <w:color w:val="000000" w:themeColor="text1"/>
          <w:sz w:val="24"/>
          <w:szCs w:val="24"/>
        </w:rPr>
        <w:tab/>
      </w:r>
      <w:r w:rsidR="00286DA2" w:rsidRPr="00CC7DE6">
        <w:rPr>
          <w:rFonts w:ascii="Arial" w:hAnsi="Arial" w:cs="Arial"/>
          <w:color w:val="000000" w:themeColor="text1"/>
          <w:sz w:val="24"/>
          <w:szCs w:val="24"/>
        </w:rPr>
        <w:t>Leave to appeal is a filter mechanism.</w:t>
      </w:r>
      <w:r>
        <w:rPr>
          <w:rFonts w:ascii="Arial" w:hAnsi="Arial" w:cs="Arial"/>
          <w:color w:val="000000" w:themeColor="text1"/>
          <w:sz w:val="24"/>
          <w:szCs w:val="24"/>
        </w:rPr>
        <w:t xml:space="preserve"> </w:t>
      </w:r>
      <w:r w:rsidR="00286DA2" w:rsidRPr="00CC7DE6">
        <w:rPr>
          <w:rFonts w:ascii="Arial" w:hAnsi="Arial" w:cs="Arial"/>
          <w:color w:val="000000" w:themeColor="text1"/>
          <w:sz w:val="24"/>
          <w:szCs w:val="24"/>
        </w:rPr>
        <w:t xml:space="preserve"> It ensures that only appellants who establish an arguable case that the appeal tribunal has erred in law can appeal to the Commissioner.</w:t>
      </w:r>
    </w:p>
    <w:p w14:paraId="04E80CB0" w14:textId="77777777" w:rsidR="007839B1" w:rsidRPr="00CC7DE6" w:rsidRDefault="007839B1" w:rsidP="00235CF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53B618D" w14:textId="2922B5A5" w:rsidR="007839B1" w:rsidRPr="00CC7DE6" w:rsidRDefault="00235CF8"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22.</w:t>
      </w:r>
      <w:r>
        <w:rPr>
          <w:rFonts w:ascii="Arial" w:hAnsi="Arial" w:cs="Arial"/>
          <w:color w:val="000000" w:themeColor="text1"/>
          <w:sz w:val="24"/>
          <w:szCs w:val="24"/>
        </w:rPr>
        <w:tab/>
      </w:r>
      <w:r w:rsidR="00286DA2" w:rsidRPr="00CC7DE6">
        <w:rPr>
          <w:rFonts w:ascii="Arial" w:hAnsi="Arial" w:cs="Arial"/>
          <w:color w:val="000000" w:themeColor="text1"/>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286DA2" w:rsidRPr="00CC7DE6">
        <w:rPr>
          <w:rFonts w:ascii="Arial" w:hAnsi="Arial" w:cs="Arial"/>
          <w:color w:val="000000" w:themeColor="text1"/>
          <w:sz w:val="24"/>
          <w:szCs w:val="24"/>
        </w:rPr>
        <w:t>made a decision</w:t>
      </w:r>
      <w:proofErr w:type="gramEnd"/>
      <w:r w:rsidR="00286DA2" w:rsidRPr="00CC7DE6">
        <w:rPr>
          <w:rFonts w:ascii="Arial" w:hAnsi="Arial" w:cs="Arial"/>
          <w:color w:val="000000" w:themeColor="text1"/>
          <w:sz w:val="24"/>
          <w:szCs w:val="24"/>
        </w:rPr>
        <w:t xml:space="preserve"> on all the evidence which no reasonable appeal tribunal could reach.</w:t>
      </w:r>
    </w:p>
    <w:p w14:paraId="621A3F1A" w14:textId="77777777" w:rsidR="007839B1" w:rsidRPr="00CC7DE6" w:rsidRDefault="007839B1" w:rsidP="00235CF8">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23F3C354" w14:textId="77F1071C" w:rsidR="007B5544" w:rsidRPr="00CC7DE6" w:rsidRDefault="00235CF8" w:rsidP="00235CF8">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23.</w:t>
      </w:r>
      <w:r>
        <w:rPr>
          <w:rFonts w:ascii="Arial" w:hAnsi="Arial" w:cs="Arial"/>
          <w:color w:val="000000" w:themeColor="text1"/>
          <w:sz w:val="24"/>
          <w:szCs w:val="24"/>
        </w:rPr>
        <w:tab/>
      </w:r>
      <w:r w:rsidR="00286DA2" w:rsidRPr="00CC7DE6">
        <w:rPr>
          <w:rFonts w:ascii="Arial" w:hAnsi="Arial" w:cs="Arial"/>
          <w:color w:val="000000" w:themeColor="text1"/>
          <w:sz w:val="24"/>
          <w:szCs w:val="24"/>
        </w:rPr>
        <w:t xml:space="preserve">Ms Toner for the Department offers her support to the </w:t>
      </w:r>
      <w:r w:rsidR="007D318C" w:rsidRPr="00CC7DE6">
        <w:rPr>
          <w:rFonts w:ascii="Arial" w:hAnsi="Arial" w:cs="Arial"/>
          <w:color w:val="000000" w:themeColor="text1"/>
          <w:sz w:val="24"/>
          <w:szCs w:val="24"/>
        </w:rPr>
        <w:t xml:space="preserve">appellant’s </w:t>
      </w:r>
      <w:r w:rsidR="00286DA2" w:rsidRPr="00CC7DE6">
        <w:rPr>
          <w:rFonts w:ascii="Arial" w:hAnsi="Arial" w:cs="Arial"/>
          <w:color w:val="000000" w:themeColor="text1"/>
          <w:sz w:val="24"/>
          <w:szCs w:val="24"/>
        </w:rPr>
        <w:t>ground</w:t>
      </w:r>
      <w:r w:rsidR="007D318C" w:rsidRPr="00CC7DE6">
        <w:rPr>
          <w:rFonts w:ascii="Arial" w:hAnsi="Arial" w:cs="Arial"/>
          <w:color w:val="000000" w:themeColor="text1"/>
          <w:sz w:val="24"/>
          <w:szCs w:val="24"/>
        </w:rPr>
        <w:t xml:space="preserve"> of application for leave to appeal</w:t>
      </w:r>
      <w:r w:rsidR="00286DA2" w:rsidRPr="00CC7DE6">
        <w:rPr>
          <w:rFonts w:ascii="Arial" w:hAnsi="Arial" w:cs="Arial"/>
          <w:color w:val="000000" w:themeColor="text1"/>
          <w:sz w:val="24"/>
          <w:szCs w:val="24"/>
        </w:rPr>
        <w:t>.</w:t>
      </w:r>
      <w:r>
        <w:rPr>
          <w:rFonts w:ascii="Arial" w:hAnsi="Arial" w:cs="Arial"/>
          <w:color w:val="000000" w:themeColor="text1"/>
          <w:sz w:val="24"/>
          <w:szCs w:val="24"/>
        </w:rPr>
        <w:t xml:space="preserve"> </w:t>
      </w:r>
      <w:r w:rsidR="00286DA2" w:rsidRPr="00CC7DE6">
        <w:rPr>
          <w:rFonts w:ascii="Arial" w:hAnsi="Arial" w:cs="Arial"/>
          <w:color w:val="000000" w:themeColor="text1"/>
          <w:sz w:val="24"/>
          <w:szCs w:val="24"/>
        </w:rPr>
        <w:t xml:space="preserve"> </w:t>
      </w:r>
      <w:r w:rsidR="007B5544" w:rsidRPr="00CC7DE6">
        <w:rPr>
          <w:rFonts w:ascii="Arial" w:hAnsi="Arial" w:cs="Arial"/>
          <w:color w:val="000000" w:themeColor="text1"/>
          <w:sz w:val="24"/>
          <w:szCs w:val="24"/>
        </w:rPr>
        <w:t xml:space="preserve">As I have explained in other decisions, where the Department’s representative indicates a measure of support for an applicant’s case, the threshold of presenting an arguable case will almost invariably be reached. </w:t>
      </w:r>
      <w:r>
        <w:rPr>
          <w:rFonts w:ascii="Arial" w:hAnsi="Arial" w:cs="Arial"/>
          <w:color w:val="000000" w:themeColor="text1"/>
          <w:sz w:val="24"/>
          <w:szCs w:val="24"/>
        </w:rPr>
        <w:t xml:space="preserve"> </w:t>
      </w:r>
      <w:r w:rsidR="007B5544" w:rsidRPr="00CC7DE6">
        <w:rPr>
          <w:rFonts w:ascii="Arial" w:hAnsi="Arial" w:cs="Arial"/>
          <w:color w:val="000000" w:themeColor="text1"/>
          <w:sz w:val="24"/>
          <w:szCs w:val="24"/>
        </w:rPr>
        <w:t>In any event, I accept that it is reached in this case</w:t>
      </w:r>
      <w:r w:rsidR="0067294D" w:rsidRPr="00CC7DE6">
        <w:rPr>
          <w:rFonts w:ascii="Arial" w:hAnsi="Arial" w:cs="Arial"/>
          <w:color w:val="000000" w:themeColor="text1"/>
          <w:sz w:val="24"/>
          <w:szCs w:val="24"/>
        </w:rPr>
        <w:t xml:space="preserve"> on the basis of the Department’s </w:t>
      </w:r>
      <w:proofErr w:type="gramStart"/>
      <w:r w:rsidR="0067294D" w:rsidRPr="00CC7DE6">
        <w:rPr>
          <w:rFonts w:ascii="Arial" w:hAnsi="Arial" w:cs="Arial"/>
          <w:color w:val="000000" w:themeColor="text1"/>
          <w:sz w:val="24"/>
          <w:szCs w:val="24"/>
        </w:rPr>
        <w:t>support</w:t>
      </w:r>
      <w:proofErr w:type="gramEnd"/>
      <w:r w:rsidR="007B5544" w:rsidRPr="00CC7DE6">
        <w:rPr>
          <w:rFonts w:ascii="Arial" w:hAnsi="Arial" w:cs="Arial"/>
          <w:color w:val="000000" w:themeColor="text1"/>
          <w:sz w:val="24"/>
          <w:szCs w:val="24"/>
        </w:rPr>
        <w:t xml:space="preserve"> and I grant leave to appeal on the second ground.</w:t>
      </w:r>
    </w:p>
    <w:p w14:paraId="59994328" w14:textId="77777777" w:rsidR="0067294D" w:rsidRPr="00CC7DE6" w:rsidRDefault="0067294D" w:rsidP="001B4A23">
      <w:pPr>
        <w:tabs>
          <w:tab w:val="left" w:pos="510"/>
          <w:tab w:val="left" w:pos="1077"/>
          <w:tab w:val="left" w:pos="1797"/>
        </w:tabs>
        <w:spacing w:after="0" w:line="240" w:lineRule="auto"/>
        <w:rPr>
          <w:rFonts w:ascii="Arial" w:hAnsi="Arial" w:cs="Arial"/>
          <w:color w:val="000000" w:themeColor="text1"/>
          <w:sz w:val="24"/>
          <w:szCs w:val="24"/>
        </w:rPr>
      </w:pPr>
    </w:p>
    <w:p w14:paraId="67B246F8" w14:textId="5EE48904" w:rsidR="007D318C" w:rsidRPr="00CC7DE6" w:rsidRDefault="00C259D7" w:rsidP="001B4A23">
      <w:pPr>
        <w:tabs>
          <w:tab w:val="left" w:pos="510"/>
          <w:tab w:val="left" w:pos="1077"/>
          <w:tab w:val="left" w:pos="1797"/>
        </w:tabs>
        <w:spacing w:after="0" w:line="240" w:lineRule="auto"/>
        <w:rPr>
          <w:rFonts w:ascii="Arial" w:hAnsi="Arial" w:cs="Arial"/>
          <w:i/>
          <w:iCs/>
          <w:color w:val="000000" w:themeColor="text1"/>
          <w:sz w:val="24"/>
          <w:szCs w:val="24"/>
        </w:rPr>
      </w:pPr>
      <w:r>
        <w:rPr>
          <w:rFonts w:ascii="Arial" w:hAnsi="Arial" w:cs="Arial"/>
          <w:i/>
          <w:iCs/>
          <w:color w:val="000000" w:themeColor="text1"/>
          <w:sz w:val="24"/>
          <w:szCs w:val="24"/>
        </w:rPr>
        <w:tab/>
      </w:r>
      <w:r w:rsidR="0068284B" w:rsidRPr="00CC7DE6">
        <w:rPr>
          <w:rFonts w:ascii="Arial" w:hAnsi="Arial" w:cs="Arial"/>
          <w:i/>
          <w:iCs/>
          <w:color w:val="000000" w:themeColor="text1"/>
          <w:sz w:val="24"/>
          <w:szCs w:val="24"/>
        </w:rPr>
        <w:t>Submissions on a</w:t>
      </w:r>
      <w:r w:rsidR="007D318C" w:rsidRPr="00CC7DE6">
        <w:rPr>
          <w:rFonts w:ascii="Arial" w:hAnsi="Arial" w:cs="Arial"/>
          <w:i/>
          <w:iCs/>
          <w:color w:val="000000" w:themeColor="text1"/>
          <w:sz w:val="24"/>
          <w:szCs w:val="24"/>
        </w:rPr>
        <w:t>ppeal ground 1</w:t>
      </w:r>
    </w:p>
    <w:p w14:paraId="3D599872" w14:textId="77777777" w:rsidR="007D318C" w:rsidRPr="00CC7DE6" w:rsidRDefault="007D318C" w:rsidP="001B4A23">
      <w:pPr>
        <w:tabs>
          <w:tab w:val="left" w:pos="510"/>
          <w:tab w:val="left" w:pos="1077"/>
          <w:tab w:val="left" w:pos="1797"/>
        </w:tabs>
        <w:spacing w:after="0" w:line="240" w:lineRule="auto"/>
        <w:rPr>
          <w:rFonts w:ascii="Arial" w:hAnsi="Arial" w:cs="Arial"/>
          <w:color w:val="000000" w:themeColor="text1"/>
          <w:sz w:val="24"/>
          <w:szCs w:val="24"/>
        </w:rPr>
      </w:pPr>
    </w:p>
    <w:p w14:paraId="313A2D06" w14:textId="67388509" w:rsidR="007839B1" w:rsidRPr="00CC7DE6" w:rsidRDefault="00C259D7" w:rsidP="00A26EC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24.</w:t>
      </w:r>
      <w:r>
        <w:rPr>
          <w:rFonts w:ascii="Arial" w:hAnsi="Arial" w:cs="Arial"/>
          <w:color w:val="000000" w:themeColor="text1"/>
          <w:sz w:val="24"/>
          <w:szCs w:val="24"/>
        </w:rPr>
        <w:tab/>
      </w:r>
      <w:r w:rsidR="00182513" w:rsidRPr="00CC7DE6">
        <w:rPr>
          <w:rFonts w:ascii="Arial" w:hAnsi="Arial" w:cs="Arial"/>
          <w:color w:val="000000" w:themeColor="text1"/>
          <w:sz w:val="24"/>
          <w:szCs w:val="24"/>
        </w:rPr>
        <w:t xml:space="preserve">The first ground of appeal relies on a series of cases decided by the Great Britian Upper Tribunal on equivalent legislation to that applied by the tribunal in Northern Ireland. </w:t>
      </w:r>
      <w:r>
        <w:rPr>
          <w:rFonts w:ascii="Arial" w:hAnsi="Arial" w:cs="Arial"/>
          <w:color w:val="000000" w:themeColor="text1"/>
          <w:sz w:val="24"/>
          <w:szCs w:val="24"/>
        </w:rPr>
        <w:t xml:space="preserve"> </w:t>
      </w:r>
      <w:r w:rsidR="0036597E" w:rsidRPr="00CC7DE6">
        <w:rPr>
          <w:rFonts w:ascii="Arial" w:hAnsi="Arial" w:cs="Arial"/>
          <w:color w:val="000000" w:themeColor="text1"/>
          <w:sz w:val="24"/>
          <w:szCs w:val="24"/>
        </w:rPr>
        <w:t xml:space="preserve">On behalf of the </w:t>
      </w:r>
      <w:proofErr w:type="gramStart"/>
      <w:r w:rsidR="0036597E" w:rsidRPr="00CC7DE6">
        <w:rPr>
          <w:rFonts w:ascii="Arial" w:hAnsi="Arial" w:cs="Arial"/>
          <w:color w:val="000000" w:themeColor="text1"/>
          <w:sz w:val="24"/>
          <w:szCs w:val="24"/>
        </w:rPr>
        <w:t>appellant</w:t>
      </w:r>
      <w:proofErr w:type="gramEnd"/>
      <w:r w:rsidR="0036597E" w:rsidRPr="00CC7DE6">
        <w:rPr>
          <w:rFonts w:ascii="Arial" w:hAnsi="Arial" w:cs="Arial"/>
          <w:color w:val="000000" w:themeColor="text1"/>
          <w:sz w:val="24"/>
          <w:szCs w:val="24"/>
        </w:rPr>
        <w:t xml:space="preserve"> it is submitted that the tribunal failed to take into account the test set out</w:t>
      </w:r>
      <w:r w:rsidR="00273940" w:rsidRPr="00CC7DE6">
        <w:rPr>
          <w:rFonts w:ascii="Arial" w:hAnsi="Arial" w:cs="Arial"/>
          <w:color w:val="000000" w:themeColor="text1"/>
          <w:sz w:val="24"/>
          <w:szCs w:val="24"/>
        </w:rPr>
        <w:t xml:space="preserve"> by the three-judge panel of the Upper Tribunal </w:t>
      </w:r>
      <w:r w:rsidR="0036597E" w:rsidRPr="00CC7DE6">
        <w:rPr>
          <w:rFonts w:ascii="Arial" w:hAnsi="Arial" w:cs="Arial"/>
          <w:color w:val="000000" w:themeColor="text1"/>
          <w:sz w:val="24"/>
          <w:szCs w:val="24"/>
        </w:rPr>
        <w:t xml:space="preserve">in </w:t>
      </w:r>
      <w:r w:rsidR="0036597E" w:rsidRPr="00CC7DE6">
        <w:rPr>
          <w:rFonts w:ascii="Arial" w:hAnsi="Arial" w:cs="Arial"/>
          <w:i/>
          <w:iCs/>
          <w:color w:val="000000" w:themeColor="text1"/>
          <w:sz w:val="24"/>
          <w:szCs w:val="24"/>
        </w:rPr>
        <w:t xml:space="preserve">IM v Secretary of State for Work and Pensions </w:t>
      </w:r>
      <w:r w:rsidR="0036597E" w:rsidRPr="00CC7DE6">
        <w:rPr>
          <w:rFonts w:ascii="Arial" w:hAnsi="Arial" w:cs="Arial"/>
          <w:color w:val="000000" w:themeColor="text1"/>
          <w:sz w:val="24"/>
          <w:szCs w:val="24"/>
        </w:rPr>
        <w:t xml:space="preserve">[2014] UKUT 412. </w:t>
      </w:r>
      <w:r>
        <w:rPr>
          <w:rFonts w:ascii="Arial" w:hAnsi="Arial" w:cs="Arial"/>
          <w:color w:val="000000" w:themeColor="text1"/>
          <w:sz w:val="24"/>
          <w:szCs w:val="24"/>
        </w:rPr>
        <w:t xml:space="preserve"> </w:t>
      </w:r>
      <w:r w:rsidR="0036597E" w:rsidRPr="00CC7DE6">
        <w:rPr>
          <w:rFonts w:ascii="Arial" w:hAnsi="Arial" w:cs="Arial"/>
          <w:color w:val="000000" w:themeColor="text1"/>
          <w:sz w:val="24"/>
          <w:szCs w:val="24"/>
        </w:rPr>
        <w:t>There it was held that the tribunal “ought to be provided with information about all types of work-related activity in the area where the claimant lived, and this is so even if the Secretary of State considered that the claimant did not have limited capability for work, since the question of whether the claimant had limited capability for work-related activity was bound to arise if the [tribunal] was minded to allow the claimant’s appeal”.</w:t>
      </w:r>
    </w:p>
    <w:p w14:paraId="1FDE1054" w14:textId="77777777" w:rsidR="007839B1" w:rsidRPr="00CC7DE6" w:rsidRDefault="007839B1" w:rsidP="00A26EC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525357E" w14:textId="569A1C49" w:rsidR="007839B1" w:rsidRPr="00CC7DE6" w:rsidRDefault="00C259D7" w:rsidP="00A26EC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25.</w:t>
      </w:r>
      <w:r>
        <w:rPr>
          <w:rFonts w:ascii="Arial" w:hAnsi="Arial" w:cs="Arial"/>
          <w:color w:val="000000" w:themeColor="text1"/>
          <w:sz w:val="24"/>
          <w:szCs w:val="24"/>
        </w:rPr>
        <w:tab/>
      </w:r>
      <w:r w:rsidR="0008411F" w:rsidRPr="00CC7DE6">
        <w:rPr>
          <w:rFonts w:ascii="Arial" w:hAnsi="Arial" w:cs="Arial"/>
          <w:color w:val="000000" w:themeColor="text1"/>
          <w:sz w:val="24"/>
          <w:szCs w:val="24"/>
        </w:rPr>
        <w:t xml:space="preserve">I observe that the decision of the Upper Tribunal </w:t>
      </w:r>
      <w:r w:rsidR="00505EC8" w:rsidRPr="00CC7DE6">
        <w:rPr>
          <w:rFonts w:ascii="Arial" w:hAnsi="Arial" w:cs="Arial"/>
          <w:color w:val="000000" w:themeColor="text1"/>
          <w:sz w:val="24"/>
          <w:szCs w:val="24"/>
        </w:rPr>
        <w:t xml:space="preserve">in </w:t>
      </w:r>
      <w:r w:rsidR="00505EC8" w:rsidRPr="00CC7DE6">
        <w:rPr>
          <w:rFonts w:ascii="Arial" w:hAnsi="Arial" w:cs="Arial"/>
          <w:i/>
          <w:iCs/>
          <w:color w:val="000000" w:themeColor="text1"/>
          <w:sz w:val="24"/>
          <w:szCs w:val="24"/>
        </w:rPr>
        <w:t xml:space="preserve">IM </w:t>
      </w:r>
      <w:r w:rsidR="0008411F" w:rsidRPr="00CC7DE6">
        <w:rPr>
          <w:rFonts w:ascii="Arial" w:hAnsi="Arial" w:cs="Arial"/>
          <w:color w:val="000000" w:themeColor="text1"/>
          <w:sz w:val="24"/>
          <w:szCs w:val="24"/>
        </w:rPr>
        <w:t xml:space="preserve">was approved by Chief Commissioner Mullan in </w:t>
      </w:r>
      <w:r w:rsidR="0008411F" w:rsidRPr="00CC7DE6">
        <w:rPr>
          <w:rFonts w:ascii="Arial" w:hAnsi="Arial" w:cs="Arial"/>
          <w:i/>
          <w:iCs/>
          <w:color w:val="000000" w:themeColor="text1"/>
          <w:sz w:val="24"/>
          <w:szCs w:val="24"/>
        </w:rPr>
        <w:t>AH-v-Department for Communities</w:t>
      </w:r>
      <w:r w:rsidR="0008411F" w:rsidRPr="00CC7DE6">
        <w:rPr>
          <w:rFonts w:ascii="Arial" w:hAnsi="Arial" w:cs="Arial"/>
          <w:color w:val="000000" w:themeColor="text1"/>
          <w:sz w:val="24"/>
          <w:szCs w:val="24"/>
        </w:rPr>
        <w:t xml:space="preserve"> [2017] NI Com 4. </w:t>
      </w:r>
      <w:r>
        <w:rPr>
          <w:rFonts w:ascii="Arial" w:hAnsi="Arial" w:cs="Arial"/>
          <w:color w:val="000000" w:themeColor="text1"/>
          <w:sz w:val="24"/>
          <w:szCs w:val="24"/>
        </w:rPr>
        <w:t xml:space="preserve"> </w:t>
      </w:r>
      <w:r w:rsidR="00273940" w:rsidRPr="00CC7DE6">
        <w:rPr>
          <w:rFonts w:ascii="Arial" w:hAnsi="Arial" w:cs="Arial"/>
          <w:color w:val="000000" w:themeColor="text1"/>
          <w:sz w:val="24"/>
          <w:szCs w:val="24"/>
        </w:rPr>
        <w:t xml:space="preserve">The Great Britian Upper Tribunal in the case of </w:t>
      </w:r>
      <w:r w:rsidR="00273940" w:rsidRPr="00CC7DE6">
        <w:rPr>
          <w:rFonts w:ascii="Arial" w:hAnsi="Arial" w:cs="Arial"/>
          <w:i/>
          <w:iCs/>
          <w:color w:val="000000" w:themeColor="text1"/>
          <w:sz w:val="24"/>
          <w:szCs w:val="24"/>
        </w:rPr>
        <w:t>MD v Secretary of State for Work and Pensions</w:t>
      </w:r>
      <w:r w:rsidR="00273940" w:rsidRPr="00CC7DE6">
        <w:rPr>
          <w:rFonts w:ascii="Arial" w:hAnsi="Arial" w:cs="Arial"/>
          <w:color w:val="000000" w:themeColor="text1"/>
          <w:sz w:val="24"/>
          <w:szCs w:val="24"/>
        </w:rPr>
        <w:t xml:space="preserve"> [2020] UKUT 215 subsequently </w:t>
      </w:r>
      <w:r w:rsidR="00E86670" w:rsidRPr="00CC7DE6">
        <w:rPr>
          <w:rFonts w:ascii="Arial" w:hAnsi="Arial" w:cs="Arial"/>
          <w:color w:val="000000" w:themeColor="text1"/>
          <w:sz w:val="24"/>
          <w:szCs w:val="24"/>
        </w:rPr>
        <w:t>decid</w:t>
      </w:r>
      <w:r w:rsidR="00273940" w:rsidRPr="00CC7DE6">
        <w:rPr>
          <w:rFonts w:ascii="Arial" w:hAnsi="Arial" w:cs="Arial"/>
          <w:color w:val="000000" w:themeColor="text1"/>
          <w:sz w:val="24"/>
          <w:szCs w:val="24"/>
        </w:rPr>
        <w:t xml:space="preserve">ed that similar principles are to be applied in UC cases as had been applied in </w:t>
      </w:r>
      <w:r w:rsidR="00273940" w:rsidRPr="00CC7DE6">
        <w:rPr>
          <w:rFonts w:ascii="Arial" w:hAnsi="Arial" w:cs="Arial"/>
          <w:i/>
          <w:iCs/>
          <w:color w:val="000000" w:themeColor="text1"/>
          <w:sz w:val="24"/>
          <w:szCs w:val="24"/>
        </w:rPr>
        <w:t>IM</w:t>
      </w:r>
      <w:r w:rsidR="00273940" w:rsidRPr="00CC7DE6">
        <w:rPr>
          <w:rFonts w:ascii="Arial" w:hAnsi="Arial" w:cs="Arial"/>
          <w:color w:val="000000" w:themeColor="text1"/>
          <w:sz w:val="24"/>
          <w:szCs w:val="24"/>
        </w:rPr>
        <w:t xml:space="preserve"> and in </w:t>
      </w:r>
      <w:r w:rsidR="00273940" w:rsidRPr="00CC7DE6">
        <w:rPr>
          <w:rFonts w:ascii="Arial" w:hAnsi="Arial" w:cs="Arial"/>
          <w:i/>
          <w:iCs/>
          <w:color w:val="000000" w:themeColor="text1"/>
          <w:sz w:val="24"/>
          <w:szCs w:val="24"/>
        </w:rPr>
        <w:t>AH</w:t>
      </w:r>
      <w:r w:rsidR="00273940" w:rsidRPr="00CC7DE6">
        <w:rPr>
          <w:rFonts w:ascii="Arial" w:hAnsi="Arial" w:cs="Arial"/>
          <w:color w:val="000000" w:themeColor="text1"/>
          <w:sz w:val="24"/>
          <w:szCs w:val="24"/>
        </w:rPr>
        <w:t>, both of which concerned employment and support allowance.</w:t>
      </w:r>
      <w:r>
        <w:rPr>
          <w:rFonts w:ascii="Arial" w:hAnsi="Arial" w:cs="Arial"/>
          <w:color w:val="000000" w:themeColor="text1"/>
          <w:sz w:val="24"/>
          <w:szCs w:val="24"/>
        </w:rPr>
        <w:t xml:space="preserve"> </w:t>
      </w:r>
      <w:r w:rsidR="00273940" w:rsidRPr="00CC7DE6">
        <w:rPr>
          <w:rFonts w:ascii="Arial" w:hAnsi="Arial" w:cs="Arial"/>
          <w:color w:val="000000" w:themeColor="text1"/>
          <w:sz w:val="24"/>
          <w:szCs w:val="24"/>
        </w:rPr>
        <w:t xml:space="preserve"> </w:t>
      </w:r>
      <w:r w:rsidR="00505EC8" w:rsidRPr="00CC7DE6">
        <w:rPr>
          <w:rFonts w:ascii="Arial" w:hAnsi="Arial" w:cs="Arial"/>
          <w:color w:val="000000" w:themeColor="text1"/>
          <w:sz w:val="24"/>
          <w:szCs w:val="24"/>
        </w:rPr>
        <w:t xml:space="preserve">I also consider that </w:t>
      </w:r>
      <w:r w:rsidR="00505EC8" w:rsidRPr="00CC7DE6">
        <w:rPr>
          <w:rFonts w:ascii="Arial" w:hAnsi="Arial" w:cs="Arial"/>
          <w:i/>
          <w:iCs/>
          <w:color w:val="000000" w:themeColor="text1"/>
          <w:sz w:val="24"/>
          <w:szCs w:val="24"/>
        </w:rPr>
        <w:t>IM</w:t>
      </w:r>
      <w:r w:rsidR="00505EC8" w:rsidRPr="00CC7DE6">
        <w:rPr>
          <w:rFonts w:ascii="Arial" w:hAnsi="Arial" w:cs="Arial"/>
          <w:color w:val="000000" w:themeColor="text1"/>
          <w:sz w:val="24"/>
          <w:szCs w:val="24"/>
        </w:rPr>
        <w:t xml:space="preserve"> should be followed in Northern Ireland. </w:t>
      </w:r>
      <w:r>
        <w:rPr>
          <w:rFonts w:ascii="Arial" w:hAnsi="Arial" w:cs="Arial"/>
          <w:color w:val="000000" w:themeColor="text1"/>
          <w:sz w:val="24"/>
          <w:szCs w:val="24"/>
        </w:rPr>
        <w:t xml:space="preserve"> </w:t>
      </w:r>
      <w:r w:rsidR="00505EC8" w:rsidRPr="00CC7DE6">
        <w:rPr>
          <w:rFonts w:ascii="Arial" w:hAnsi="Arial" w:cs="Arial"/>
          <w:color w:val="000000" w:themeColor="text1"/>
          <w:sz w:val="24"/>
          <w:szCs w:val="24"/>
        </w:rPr>
        <w:t>I further accept that in the context of substantial risk for the purpose of paragraph 4 of Schedule 9 in UC cases, the legislation is so similar that the same principles as have been applied in the E</w:t>
      </w:r>
      <w:r w:rsidR="00E32EF3" w:rsidRPr="00CC7DE6">
        <w:rPr>
          <w:rFonts w:ascii="Arial" w:hAnsi="Arial" w:cs="Arial"/>
          <w:color w:val="000000" w:themeColor="text1"/>
          <w:sz w:val="24"/>
          <w:szCs w:val="24"/>
        </w:rPr>
        <w:t>mployment and Support Allowance (ESA)</w:t>
      </w:r>
      <w:r w:rsidR="00505EC8" w:rsidRPr="00CC7DE6">
        <w:rPr>
          <w:rFonts w:ascii="Arial" w:hAnsi="Arial" w:cs="Arial"/>
          <w:color w:val="000000" w:themeColor="text1"/>
          <w:sz w:val="24"/>
          <w:szCs w:val="24"/>
        </w:rPr>
        <w:t xml:space="preserve"> cases should be followed.</w:t>
      </w:r>
    </w:p>
    <w:p w14:paraId="1F81E77C" w14:textId="77777777" w:rsidR="007839B1" w:rsidRPr="00CC7DE6" w:rsidRDefault="007839B1" w:rsidP="00A26EC2">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59A492D" w14:textId="37474C11" w:rsidR="007839B1" w:rsidRPr="00CC7DE6" w:rsidRDefault="00C259D7" w:rsidP="00A26EC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26.</w:t>
      </w:r>
      <w:r>
        <w:rPr>
          <w:rFonts w:ascii="Arial" w:hAnsi="Arial" w:cs="Arial"/>
          <w:color w:val="000000" w:themeColor="text1"/>
          <w:sz w:val="24"/>
          <w:szCs w:val="24"/>
        </w:rPr>
        <w:tab/>
      </w:r>
      <w:r w:rsidR="00E86670" w:rsidRPr="00CC7DE6">
        <w:rPr>
          <w:rFonts w:ascii="Arial" w:hAnsi="Arial" w:cs="Arial"/>
          <w:color w:val="000000" w:themeColor="text1"/>
          <w:sz w:val="24"/>
          <w:szCs w:val="24"/>
        </w:rPr>
        <w:t xml:space="preserve">In support of the appeal, the appellant’s representative further placed reliance on the Great Britian Upper Tribunal decision in </w:t>
      </w:r>
      <w:r w:rsidR="00E86670" w:rsidRPr="00CC7DE6">
        <w:rPr>
          <w:rFonts w:ascii="Arial" w:hAnsi="Arial" w:cs="Arial"/>
          <w:i/>
          <w:iCs/>
          <w:color w:val="000000" w:themeColor="text1"/>
          <w:sz w:val="24"/>
          <w:szCs w:val="24"/>
        </w:rPr>
        <w:t>KS v Secretary of State for Work and Pensions</w:t>
      </w:r>
      <w:r w:rsidR="00E86670" w:rsidRPr="00CC7DE6">
        <w:rPr>
          <w:rFonts w:ascii="Arial" w:hAnsi="Arial" w:cs="Arial"/>
          <w:color w:val="000000" w:themeColor="text1"/>
          <w:sz w:val="24"/>
          <w:szCs w:val="24"/>
        </w:rPr>
        <w:t xml:space="preserve"> [2021] UKUT 132</w:t>
      </w:r>
      <w:r w:rsidR="008258DA" w:rsidRPr="00CC7DE6">
        <w:rPr>
          <w:rFonts w:ascii="Arial" w:hAnsi="Arial" w:cs="Arial"/>
          <w:color w:val="000000" w:themeColor="text1"/>
          <w:sz w:val="24"/>
          <w:szCs w:val="24"/>
        </w:rPr>
        <w:t xml:space="preserve"> and </w:t>
      </w:r>
      <w:r w:rsidR="00E86670" w:rsidRPr="00CC7DE6">
        <w:rPr>
          <w:rFonts w:ascii="Arial" w:hAnsi="Arial" w:cs="Arial"/>
          <w:color w:val="000000" w:themeColor="text1"/>
          <w:sz w:val="24"/>
          <w:szCs w:val="24"/>
        </w:rPr>
        <w:t>referred to the Great Britain Secretary of State’s guidance in DMG Memo 01/18.</w:t>
      </w:r>
    </w:p>
    <w:p w14:paraId="1AF627FB" w14:textId="77777777" w:rsidR="007839B1" w:rsidRPr="00CC7DE6" w:rsidRDefault="007839B1" w:rsidP="00A26EC2">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068797C" w14:textId="1A0EF7FF" w:rsidR="007839B1" w:rsidRPr="00CC7DE6" w:rsidRDefault="00C259D7" w:rsidP="00A26EC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27.</w:t>
      </w:r>
      <w:r>
        <w:rPr>
          <w:rFonts w:ascii="Arial" w:hAnsi="Arial" w:cs="Arial"/>
          <w:color w:val="000000" w:themeColor="text1"/>
          <w:sz w:val="24"/>
          <w:szCs w:val="24"/>
        </w:rPr>
        <w:tab/>
      </w:r>
      <w:r w:rsidR="00012828" w:rsidRPr="00CC7DE6">
        <w:rPr>
          <w:rFonts w:ascii="Arial" w:hAnsi="Arial" w:cs="Arial"/>
          <w:color w:val="000000" w:themeColor="text1"/>
          <w:sz w:val="24"/>
          <w:szCs w:val="24"/>
        </w:rPr>
        <w:t xml:space="preserve">Ms Toner for the Department has responded to the grounds of appeal by expressing support. </w:t>
      </w:r>
      <w:r>
        <w:rPr>
          <w:rFonts w:ascii="Arial" w:hAnsi="Arial" w:cs="Arial"/>
          <w:color w:val="000000" w:themeColor="text1"/>
          <w:sz w:val="24"/>
          <w:szCs w:val="24"/>
        </w:rPr>
        <w:t xml:space="preserve"> </w:t>
      </w:r>
      <w:r w:rsidR="00012828" w:rsidRPr="00CC7DE6">
        <w:rPr>
          <w:rFonts w:ascii="Arial" w:hAnsi="Arial" w:cs="Arial"/>
          <w:color w:val="000000" w:themeColor="text1"/>
          <w:sz w:val="24"/>
          <w:szCs w:val="24"/>
        </w:rPr>
        <w:t xml:space="preserve">Whereas the guidance referred to by the appellant’s representative is operational only in Great Britian, she pointed out the equivalent guidance in Northern Ireland. </w:t>
      </w:r>
      <w:r>
        <w:rPr>
          <w:rFonts w:ascii="Arial" w:hAnsi="Arial" w:cs="Arial"/>
          <w:color w:val="000000" w:themeColor="text1"/>
          <w:sz w:val="24"/>
          <w:szCs w:val="24"/>
        </w:rPr>
        <w:t xml:space="preserve"> </w:t>
      </w:r>
      <w:r w:rsidR="00012828" w:rsidRPr="00CC7DE6">
        <w:rPr>
          <w:rFonts w:ascii="Arial" w:hAnsi="Arial" w:cs="Arial"/>
          <w:color w:val="000000" w:themeColor="text1"/>
          <w:sz w:val="24"/>
          <w:szCs w:val="24"/>
        </w:rPr>
        <w:t xml:space="preserve">This is DMG Memo 8/90 which relates to ESA and ADM Memo 10/18 which relates to UC. </w:t>
      </w:r>
      <w:r>
        <w:rPr>
          <w:rFonts w:ascii="Arial" w:hAnsi="Arial" w:cs="Arial"/>
          <w:color w:val="000000" w:themeColor="text1"/>
          <w:sz w:val="24"/>
          <w:szCs w:val="24"/>
        </w:rPr>
        <w:t xml:space="preserve"> </w:t>
      </w:r>
      <w:r w:rsidR="00012828" w:rsidRPr="00CC7DE6">
        <w:rPr>
          <w:rFonts w:ascii="Arial" w:hAnsi="Arial" w:cs="Arial"/>
          <w:color w:val="000000" w:themeColor="text1"/>
          <w:sz w:val="24"/>
          <w:szCs w:val="24"/>
        </w:rPr>
        <w:t>She agreed with the appellant’s representative that there was an obligation on the tribunal to consider what specific type of work-related activity the appellant would be required to or be capable of undertaking in the area he resides.</w:t>
      </w:r>
    </w:p>
    <w:p w14:paraId="730977D0" w14:textId="77777777" w:rsidR="007839B1" w:rsidRPr="00CC7DE6" w:rsidRDefault="007839B1" w:rsidP="00A26EC2">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4D466ACF" w14:textId="0944D2B3" w:rsidR="00012828" w:rsidRPr="00CC7DE6" w:rsidRDefault="00C259D7" w:rsidP="00A26EC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28.</w:t>
      </w:r>
      <w:r>
        <w:rPr>
          <w:rFonts w:ascii="Arial" w:hAnsi="Arial" w:cs="Arial"/>
          <w:color w:val="000000" w:themeColor="text1"/>
          <w:sz w:val="24"/>
          <w:szCs w:val="24"/>
        </w:rPr>
        <w:tab/>
      </w:r>
      <w:r w:rsidR="0068284B" w:rsidRPr="00CC7DE6">
        <w:rPr>
          <w:rFonts w:ascii="Arial" w:hAnsi="Arial" w:cs="Arial"/>
          <w:color w:val="000000" w:themeColor="text1"/>
          <w:sz w:val="24"/>
          <w:szCs w:val="24"/>
        </w:rPr>
        <w:t xml:space="preserve">Ms Toner cited the requirements set out by the three-judge panel of the Upper Tribunal in </w:t>
      </w:r>
      <w:r w:rsidR="0068284B" w:rsidRPr="00CC7DE6">
        <w:rPr>
          <w:rFonts w:ascii="Arial" w:hAnsi="Arial" w:cs="Arial"/>
          <w:i/>
          <w:iCs/>
          <w:color w:val="000000" w:themeColor="text1"/>
          <w:sz w:val="24"/>
          <w:szCs w:val="24"/>
        </w:rPr>
        <w:t>IM</w:t>
      </w:r>
      <w:r w:rsidR="0068284B" w:rsidRPr="00CC7DE6">
        <w:rPr>
          <w:rFonts w:ascii="Arial" w:hAnsi="Arial" w:cs="Arial"/>
          <w:color w:val="000000" w:themeColor="text1"/>
          <w:sz w:val="24"/>
          <w:szCs w:val="24"/>
        </w:rPr>
        <w:t xml:space="preserve"> upon the Secretary of State at paragraphs 104-108 of that decision, which I reproduce below:</w:t>
      </w:r>
    </w:p>
    <w:p w14:paraId="217C77F8" w14:textId="77777777" w:rsidR="0068284B" w:rsidRPr="00CC7DE6" w:rsidRDefault="0068284B" w:rsidP="001B4A23">
      <w:pPr>
        <w:tabs>
          <w:tab w:val="left" w:pos="510"/>
          <w:tab w:val="left" w:pos="1077"/>
          <w:tab w:val="left" w:pos="1797"/>
        </w:tabs>
        <w:spacing w:after="0" w:line="240" w:lineRule="auto"/>
        <w:rPr>
          <w:rFonts w:ascii="Arial" w:hAnsi="Arial" w:cs="Arial"/>
          <w:color w:val="000000" w:themeColor="text1"/>
          <w:sz w:val="24"/>
          <w:szCs w:val="24"/>
        </w:rPr>
      </w:pPr>
    </w:p>
    <w:p w14:paraId="3F1326BB" w14:textId="541F8296"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C7DE6">
        <w:rPr>
          <w:rFonts w:ascii="Arial" w:hAnsi="Arial" w:cs="Arial"/>
          <w:color w:val="000000" w:themeColor="text1"/>
          <w:sz w:val="24"/>
          <w:szCs w:val="24"/>
        </w:rPr>
        <w:t>“104.</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It will be apparent from what we have said above that, at least while the legislation is administered in the current fashion, the First-tier Tribunal needs to know not only what the least demanding types of work-related activity are but also what the most demanding types are in the area where the claimant lives.</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As Judge Jacobs pointed out in</w:t>
      </w:r>
      <w:r w:rsidR="00396B1B">
        <w:rPr>
          <w:rFonts w:ascii="Arial" w:hAnsi="Arial" w:cs="Arial"/>
          <w:color w:val="000000" w:themeColor="text1"/>
          <w:sz w:val="24"/>
          <w:szCs w:val="24"/>
        </w:rPr>
        <w:t xml:space="preserve"> </w:t>
      </w:r>
      <w:r w:rsidRPr="00CC7DE6">
        <w:rPr>
          <w:rFonts w:ascii="Arial" w:hAnsi="Arial" w:cs="Arial"/>
          <w:i/>
          <w:iCs/>
          <w:color w:val="000000" w:themeColor="text1"/>
          <w:sz w:val="24"/>
          <w:szCs w:val="24"/>
        </w:rPr>
        <w:t>AH</w:t>
      </w:r>
      <w:r w:rsidRPr="00CC7DE6">
        <w:rPr>
          <w:rFonts w:ascii="Arial" w:hAnsi="Arial" w:cs="Arial"/>
          <w:color w:val="000000" w:themeColor="text1"/>
          <w:sz w:val="24"/>
          <w:szCs w:val="24"/>
        </w:rPr>
        <w:t>, that information can come only from the Secretary of State.</w:t>
      </w:r>
    </w:p>
    <w:p w14:paraId="5CC1B244" w14:textId="7B26A5B8"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DE0CED8" w14:textId="68773841"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C7DE6">
        <w:rPr>
          <w:rFonts w:ascii="Arial" w:hAnsi="Arial" w:cs="Arial"/>
          <w:color w:val="000000" w:themeColor="text1"/>
          <w:sz w:val="24"/>
          <w:szCs w:val="24"/>
        </w:rPr>
        <w:t>105.</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As indicated above, we accept the Secretary of State’s submission that, on an appeal in which regulation 35(2) is in issue, he cannot be expected to anticipate exactly what work-related activity a particular claimant would in fact be required to do.</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This is axiomatic</w:t>
      </w:r>
    </w:p>
    <w:p w14:paraId="046BFCC7" w14:textId="40B602DC"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DCD1CA2" w14:textId="55F46408"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C7DE6">
        <w:rPr>
          <w:rFonts w:ascii="Arial" w:hAnsi="Arial" w:cs="Arial"/>
          <w:color w:val="000000" w:themeColor="text1"/>
          <w:sz w:val="24"/>
          <w:szCs w:val="24"/>
        </w:rPr>
        <w:t>106.</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But what the Secretary of State can and should provide is evidence of the types of work-related activity available in each area and by reference thereto what the </w:t>
      </w:r>
      <w:proofErr w:type="gramStart"/>
      <w:r w:rsidRPr="00CC7DE6">
        <w:rPr>
          <w:rFonts w:ascii="Arial" w:hAnsi="Arial" w:cs="Arial"/>
          <w:color w:val="000000" w:themeColor="text1"/>
          <w:sz w:val="24"/>
          <w:szCs w:val="24"/>
        </w:rPr>
        <w:t>particular claimant</w:t>
      </w:r>
      <w:proofErr w:type="gramEnd"/>
      <w:r w:rsidRPr="00CC7DE6">
        <w:rPr>
          <w:rFonts w:ascii="Arial" w:hAnsi="Arial" w:cs="Arial"/>
          <w:color w:val="000000" w:themeColor="text1"/>
          <w:sz w:val="24"/>
          <w:szCs w:val="24"/>
        </w:rPr>
        <w:t xml:space="preserve"> may be required to undertake and those which he considers it would be reasonable for the provider to require the claimant to undertake.</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The First-tier Tribunal would then be </w:t>
      </w:r>
      <w:proofErr w:type="gramStart"/>
      <w:r w:rsidRPr="00CC7DE6">
        <w:rPr>
          <w:rFonts w:ascii="Arial" w:hAnsi="Arial" w:cs="Arial"/>
          <w:color w:val="000000" w:themeColor="text1"/>
          <w:sz w:val="24"/>
          <w:szCs w:val="24"/>
        </w:rPr>
        <w:t>in a position</w:t>
      </w:r>
      <w:proofErr w:type="gramEnd"/>
      <w:r w:rsidRPr="00CC7DE6">
        <w:rPr>
          <w:rFonts w:ascii="Arial" w:hAnsi="Arial" w:cs="Arial"/>
          <w:color w:val="000000" w:themeColor="text1"/>
          <w:sz w:val="24"/>
          <w:szCs w:val="24"/>
        </w:rPr>
        <w:t xml:space="preserve"> to assess the relevant risks.</w:t>
      </w:r>
    </w:p>
    <w:p w14:paraId="00D0517D" w14:textId="1BAE7C79" w:rsidR="0068284B" w:rsidRPr="00CC7DE6" w:rsidRDefault="0068284B" w:rsidP="00A26EC2">
      <w:pPr>
        <w:tabs>
          <w:tab w:val="left" w:pos="510"/>
          <w:tab w:val="left" w:pos="1077"/>
          <w:tab w:val="left" w:pos="1797"/>
        </w:tabs>
        <w:spacing w:after="0" w:line="240" w:lineRule="auto"/>
        <w:ind w:left="1077" w:right="1077"/>
        <w:rPr>
          <w:rFonts w:ascii="Arial" w:hAnsi="Arial" w:cs="Arial"/>
          <w:color w:val="000000" w:themeColor="text1"/>
          <w:sz w:val="24"/>
          <w:szCs w:val="24"/>
        </w:rPr>
      </w:pPr>
    </w:p>
    <w:p w14:paraId="52D2EBB2" w14:textId="69AE640B"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C7DE6">
        <w:rPr>
          <w:rFonts w:ascii="Arial" w:hAnsi="Arial" w:cs="Arial"/>
          <w:color w:val="000000" w:themeColor="text1"/>
          <w:sz w:val="24"/>
          <w:szCs w:val="24"/>
        </w:rPr>
        <w:t>107.</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We understand that the types of work-related activity available may vary from provider to provider, but it should not be beyond the wit of the Department and providers to produce and maintain a list, perhaps for each of the regions into which the First-tier Tribunal is organised, of what is available in each area within the region.</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The relevant information could then be included in submissions in individual cases.</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The First-tier Tribunal would be able to assess the evidential force of such a submission.</w:t>
      </w:r>
    </w:p>
    <w:p w14:paraId="00A8E9DB" w14:textId="6240FBB2"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6B201B7F" w14:textId="232EAE3E" w:rsidR="0068284B" w:rsidRPr="00CC7DE6" w:rsidRDefault="0068284B" w:rsidP="00A26EC2">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CC7DE6">
        <w:rPr>
          <w:rFonts w:ascii="Arial" w:hAnsi="Arial" w:cs="Arial"/>
          <w:color w:val="000000" w:themeColor="text1"/>
          <w:sz w:val="24"/>
          <w:szCs w:val="24"/>
        </w:rPr>
        <w:t>108.</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 xml:space="preserve"> We do not accept the Secretary of State’s submission that it would be disproportionate to provide such evidence where there is an appeal against a decision to the effect that the claimant does not even have limited capability for work. </w:t>
      </w:r>
      <w:r w:rsidR="00396B1B">
        <w:rPr>
          <w:rFonts w:ascii="Arial" w:hAnsi="Arial" w:cs="Arial"/>
          <w:color w:val="000000" w:themeColor="text1"/>
          <w:sz w:val="24"/>
          <w:szCs w:val="24"/>
        </w:rPr>
        <w:t xml:space="preserve"> </w:t>
      </w:r>
      <w:r w:rsidRPr="00CC7DE6">
        <w:rPr>
          <w:rFonts w:ascii="Arial" w:hAnsi="Arial" w:cs="Arial"/>
          <w:color w:val="000000" w:themeColor="text1"/>
          <w:sz w:val="24"/>
          <w:szCs w:val="24"/>
        </w:rPr>
        <w:t>As is acknowledged, if such an appeal is allowed, it will inevitably be necessary to consider whether the claimant has limited capability for work-related activity…”</w:t>
      </w:r>
    </w:p>
    <w:p w14:paraId="49CBC608" w14:textId="77777777" w:rsidR="0068284B" w:rsidRPr="00CC7DE6" w:rsidRDefault="0068284B" w:rsidP="001B4A23">
      <w:pPr>
        <w:tabs>
          <w:tab w:val="left" w:pos="510"/>
          <w:tab w:val="left" w:pos="1077"/>
          <w:tab w:val="left" w:pos="1797"/>
        </w:tabs>
        <w:spacing w:after="0" w:line="240" w:lineRule="auto"/>
        <w:rPr>
          <w:rFonts w:ascii="Arial" w:hAnsi="Arial" w:cs="Arial"/>
          <w:color w:val="000000" w:themeColor="text1"/>
          <w:sz w:val="24"/>
          <w:szCs w:val="24"/>
        </w:rPr>
      </w:pPr>
    </w:p>
    <w:p w14:paraId="2978FFB1" w14:textId="6E20D837" w:rsidR="0068284B" w:rsidRPr="00CC7DE6" w:rsidRDefault="00396B1B" w:rsidP="007C343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29.</w:t>
      </w:r>
      <w:r>
        <w:rPr>
          <w:rFonts w:ascii="Arial" w:hAnsi="Arial" w:cs="Arial"/>
          <w:color w:val="000000" w:themeColor="text1"/>
          <w:sz w:val="24"/>
          <w:szCs w:val="24"/>
        </w:rPr>
        <w:tab/>
      </w:r>
      <w:r w:rsidR="0068284B" w:rsidRPr="00CC7DE6">
        <w:rPr>
          <w:rFonts w:ascii="Arial" w:hAnsi="Arial" w:cs="Arial"/>
          <w:color w:val="000000" w:themeColor="text1"/>
          <w:sz w:val="24"/>
          <w:szCs w:val="24"/>
        </w:rPr>
        <w:t xml:space="preserve">Ms Toner accepted that the tribunal should have ensured that it had necessary information regarding the types of work-related activities available to the appellant in his local area. </w:t>
      </w:r>
      <w:r w:rsidR="007C343C">
        <w:rPr>
          <w:rFonts w:ascii="Arial" w:hAnsi="Arial" w:cs="Arial"/>
          <w:color w:val="000000" w:themeColor="text1"/>
          <w:sz w:val="24"/>
          <w:szCs w:val="24"/>
        </w:rPr>
        <w:t xml:space="preserve"> </w:t>
      </w:r>
      <w:r w:rsidR="0068284B" w:rsidRPr="00CC7DE6">
        <w:rPr>
          <w:rFonts w:ascii="Arial" w:hAnsi="Arial" w:cs="Arial"/>
          <w:color w:val="000000" w:themeColor="text1"/>
          <w:sz w:val="24"/>
          <w:szCs w:val="24"/>
        </w:rPr>
        <w:t>In its absence she accepted that the tribunal had erred in law.</w:t>
      </w:r>
    </w:p>
    <w:p w14:paraId="21F5FA86" w14:textId="77777777" w:rsidR="0068284B" w:rsidRPr="00CC7DE6" w:rsidRDefault="0068284B" w:rsidP="001B4A23">
      <w:pPr>
        <w:tabs>
          <w:tab w:val="left" w:pos="510"/>
          <w:tab w:val="left" w:pos="1077"/>
          <w:tab w:val="left" w:pos="1797"/>
        </w:tabs>
        <w:spacing w:after="0" w:line="240" w:lineRule="auto"/>
        <w:rPr>
          <w:rFonts w:ascii="Arial" w:hAnsi="Arial" w:cs="Arial"/>
          <w:color w:val="000000" w:themeColor="text1"/>
          <w:sz w:val="24"/>
          <w:szCs w:val="24"/>
        </w:rPr>
      </w:pPr>
    </w:p>
    <w:p w14:paraId="7498BC9F" w14:textId="7D139BE1" w:rsidR="007D318C" w:rsidRPr="00CC7DE6" w:rsidRDefault="007C343C" w:rsidP="001B4A23">
      <w:pPr>
        <w:tabs>
          <w:tab w:val="left" w:pos="510"/>
          <w:tab w:val="left" w:pos="1077"/>
          <w:tab w:val="left" w:pos="1797"/>
        </w:tabs>
        <w:spacing w:after="0" w:line="240" w:lineRule="auto"/>
        <w:rPr>
          <w:rFonts w:ascii="Arial" w:hAnsi="Arial" w:cs="Arial"/>
          <w:i/>
          <w:iCs/>
          <w:color w:val="000000" w:themeColor="text1"/>
          <w:sz w:val="24"/>
          <w:szCs w:val="24"/>
        </w:rPr>
      </w:pPr>
      <w:r>
        <w:rPr>
          <w:rFonts w:ascii="Arial" w:hAnsi="Arial" w:cs="Arial"/>
          <w:i/>
          <w:iCs/>
          <w:color w:val="000000" w:themeColor="text1"/>
          <w:sz w:val="24"/>
          <w:szCs w:val="24"/>
        </w:rPr>
        <w:tab/>
      </w:r>
      <w:r w:rsidR="0068284B" w:rsidRPr="00CC7DE6">
        <w:rPr>
          <w:rFonts w:ascii="Arial" w:hAnsi="Arial" w:cs="Arial"/>
          <w:i/>
          <w:iCs/>
          <w:color w:val="000000" w:themeColor="text1"/>
          <w:sz w:val="24"/>
          <w:szCs w:val="24"/>
        </w:rPr>
        <w:t>Submissions on a</w:t>
      </w:r>
      <w:r w:rsidR="007D318C" w:rsidRPr="00CC7DE6">
        <w:rPr>
          <w:rFonts w:ascii="Arial" w:hAnsi="Arial" w:cs="Arial"/>
          <w:i/>
          <w:iCs/>
          <w:color w:val="000000" w:themeColor="text1"/>
          <w:sz w:val="24"/>
          <w:szCs w:val="24"/>
        </w:rPr>
        <w:t>ppeal ground 2</w:t>
      </w:r>
    </w:p>
    <w:p w14:paraId="228906B7" w14:textId="77777777" w:rsidR="0068284B" w:rsidRPr="00CC7DE6" w:rsidRDefault="0068284B" w:rsidP="001B4A23">
      <w:pPr>
        <w:tabs>
          <w:tab w:val="left" w:pos="510"/>
          <w:tab w:val="left" w:pos="1077"/>
          <w:tab w:val="left" w:pos="1797"/>
        </w:tabs>
        <w:spacing w:after="0" w:line="240" w:lineRule="auto"/>
        <w:rPr>
          <w:rFonts w:ascii="Arial" w:hAnsi="Arial" w:cs="Arial"/>
          <w:color w:val="000000" w:themeColor="text1"/>
          <w:sz w:val="24"/>
          <w:szCs w:val="24"/>
        </w:rPr>
      </w:pPr>
    </w:p>
    <w:p w14:paraId="7DD36422" w14:textId="46AB0804" w:rsidR="00FC5D6C" w:rsidRPr="00CC7DE6" w:rsidRDefault="007C343C" w:rsidP="00FD5F0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30.</w:t>
      </w:r>
      <w:r>
        <w:rPr>
          <w:rFonts w:ascii="Arial" w:hAnsi="Arial" w:cs="Arial"/>
          <w:color w:val="000000" w:themeColor="text1"/>
          <w:sz w:val="24"/>
          <w:szCs w:val="24"/>
        </w:rPr>
        <w:tab/>
      </w:r>
      <w:r w:rsidR="00FC5D6C" w:rsidRPr="00CC7DE6">
        <w:rPr>
          <w:rFonts w:ascii="Arial" w:hAnsi="Arial" w:cs="Arial"/>
          <w:color w:val="000000" w:themeColor="text1"/>
          <w:sz w:val="24"/>
          <w:szCs w:val="24"/>
        </w:rPr>
        <w:t xml:space="preserve">The second ground advanced on behalf of the appellant was that the tribunal had not fully or correctly addressed the issue of </w:t>
      </w:r>
      <w:r w:rsidR="00C86DE3" w:rsidRPr="00CC7DE6">
        <w:rPr>
          <w:rFonts w:ascii="Arial" w:hAnsi="Arial" w:cs="Arial"/>
          <w:color w:val="000000" w:themeColor="text1"/>
          <w:sz w:val="24"/>
          <w:szCs w:val="24"/>
        </w:rPr>
        <w:t>“</w:t>
      </w:r>
      <w:r w:rsidR="00FC5D6C" w:rsidRPr="00CC7DE6">
        <w:rPr>
          <w:rFonts w:ascii="Arial" w:hAnsi="Arial" w:cs="Arial"/>
          <w:color w:val="000000" w:themeColor="text1"/>
          <w:sz w:val="24"/>
          <w:szCs w:val="24"/>
        </w:rPr>
        <w:t>substantial risk</w:t>
      </w:r>
      <w:r w:rsidR="00C86DE3" w:rsidRPr="00CC7DE6">
        <w:rPr>
          <w:rFonts w:ascii="Arial" w:hAnsi="Arial" w:cs="Arial"/>
          <w:color w:val="000000" w:themeColor="text1"/>
          <w:sz w:val="24"/>
          <w:szCs w:val="24"/>
        </w:rPr>
        <w:t>”</w:t>
      </w:r>
      <w:r w:rsidR="001B34A1" w:rsidRPr="00CC7DE6">
        <w:rPr>
          <w:rFonts w:ascii="Arial" w:hAnsi="Arial" w:cs="Arial"/>
          <w:color w:val="000000" w:themeColor="text1"/>
          <w:sz w:val="24"/>
          <w:szCs w:val="24"/>
        </w:rPr>
        <w:t xml:space="preserve"> in the context of paragraph 4 of Schedule 9 or given adequate reasons for its decision</w:t>
      </w:r>
      <w:r w:rsidR="00FC5D6C" w:rsidRPr="00CC7DE6">
        <w:rPr>
          <w:rFonts w:ascii="Arial" w:hAnsi="Arial" w:cs="Arial"/>
          <w:color w:val="000000" w:themeColor="text1"/>
          <w:sz w:val="24"/>
          <w:szCs w:val="24"/>
        </w:rPr>
        <w:t xml:space="preserve">. </w:t>
      </w:r>
      <w:r w:rsidR="00FD5F0E">
        <w:rPr>
          <w:rFonts w:ascii="Arial" w:hAnsi="Arial" w:cs="Arial"/>
          <w:color w:val="000000" w:themeColor="text1"/>
          <w:sz w:val="24"/>
          <w:szCs w:val="24"/>
        </w:rPr>
        <w:t xml:space="preserve"> </w:t>
      </w:r>
      <w:proofErr w:type="gramStart"/>
      <w:r w:rsidR="001B34A1" w:rsidRPr="00CC7DE6">
        <w:rPr>
          <w:rFonts w:ascii="Arial" w:hAnsi="Arial" w:cs="Arial"/>
          <w:color w:val="000000" w:themeColor="text1"/>
          <w:sz w:val="24"/>
          <w:szCs w:val="24"/>
        </w:rPr>
        <w:t>In particular it</w:t>
      </w:r>
      <w:proofErr w:type="gramEnd"/>
      <w:r w:rsidR="001B34A1" w:rsidRPr="00CC7DE6">
        <w:rPr>
          <w:rFonts w:ascii="Arial" w:hAnsi="Arial" w:cs="Arial"/>
          <w:color w:val="000000" w:themeColor="text1"/>
          <w:sz w:val="24"/>
          <w:szCs w:val="24"/>
        </w:rPr>
        <w:t xml:space="preserve"> was submitted that the issue of alcohol dependence syndrome had been raised in submissions to the tribunal but was not addressed by it. </w:t>
      </w:r>
      <w:r w:rsidR="00FD5F0E">
        <w:rPr>
          <w:rFonts w:ascii="Arial" w:hAnsi="Arial" w:cs="Arial"/>
          <w:color w:val="000000" w:themeColor="text1"/>
          <w:sz w:val="24"/>
          <w:szCs w:val="24"/>
        </w:rPr>
        <w:t xml:space="preserve"> </w:t>
      </w:r>
      <w:r w:rsidR="001B34A1" w:rsidRPr="00CC7DE6">
        <w:rPr>
          <w:rFonts w:ascii="Arial" w:hAnsi="Arial" w:cs="Arial"/>
          <w:color w:val="000000" w:themeColor="text1"/>
          <w:sz w:val="24"/>
          <w:szCs w:val="24"/>
        </w:rPr>
        <w:t xml:space="preserve">Reliance was placed on the decision of Deputy Commissioner Gray in </w:t>
      </w:r>
      <w:r w:rsidR="001B34A1" w:rsidRPr="00CC7DE6">
        <w:rPr>
          <w:rFonts w:ascii="Arial" w:hAnsi="Arial" w:cs="Arial"/>
          <w:i/>
          <w:iCs/>
          <w:color w:val="000000" w:themeColor="text1"/>
          <w:sz w:val="24"/>
          <w:szCs w:val="24"/>
        </w:rPr>
        <w:t>NS v Department for Communities</w:t>
      </w:r>
      <w:r w:rsidR="001B34A1" w:rsidRPr="00CC7DE6">
        <w:rPr>
          <w:rFonts w:ascii="Arial" w:hAnsi="Arial" w:cs="Arial"/>
          <w:color w:val="000000" w:themeColor="text1"/>
          <w:sz w:val="24"/>
          <w:szCs w:val="24"/>
        </w:rPr>
        <w:t xml:space="preserve"> [2023] NI Com 29. </w:t>
      </w:r>
      <w:r w:rsidR="00FD5F0E">
        <w:rPr>
          <w:rFonts w:ascii="Arial" w:hAnsi="Arial" w:cs="Arial"/>
          <w:color w:val="000000" w:themeColor="text1"/>
          <w:sz w:val="24"/>
          <w:szCs w:val="24"/>
        </w:rPr>
        <w:t xml:space="preserve"> </w:t>
      </w:r>
      <w:r w:rsidR="001B34A1" w:rsidRPr="00CC7DE6">
        <w:rPr>
          <w:rFonts w:ascii="Arial" w:hAnsi="Arial" w:cs="Arial"/>
          <w:color w:val="000000" w:themeColor="text1"/>
          <w:sz w:val="24"/>
          <w:szCs w:val="24"/>
        </w:rPr>
        <w:t>This decision was addressed to the issue of adequacy of reasons in the equivalent ESA provisions regarding substantial risk.</w:t>
      </w:r>
    </w:p>
    <w:p w14:paraId="31B55B66" w14:textId="77777777" w:rsidR="00365D76" w:rsidRPr="00CC7DE6" w:rsidRDefault="00365D76" w:rsidP="00FD5F0E">
      <w:pPr>
        <w:tabs>
          <w:tab w:val="left" w:pos="510"/>
          <w:tab w:val="left" w:pos="1077"/>
          <w:tab w:val="left" w:pos="1797"/>
        </w:tabs>
        <w:spacing w:after="0" w:line="240" w:lineRule="auto"/>
        <w:ind w:left="510" w:hanging="510"/>
        <w:rPr>
          <w:rFonts w:ascii="Arial" w:hAnsi="Arial" w:cs="Arial"/>
          <w:color w:val="000000" w:themeColor="text1"/>
          <w:sz w:val="24"/>
          <w:szCs w:val="24"/>
        </w:rPr>
      </w:pPr>
    </w:p>
    <w:p w14:paraId="15801307" w14:textId="03F3ED25" w:rsidR="00365D76" w:rsidRPr="00CC7DE6" w:rsidRDefault="00FD5F0E" w:rsidP="00FD5F0E">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31.</w:t>
      </w:r>
      <w:r>
        <w:rPr>
          <w:rFonts w:ascii="Arial" w:hAnsi="Arial" w:cs="Arial"/>
          <w:color w:val="000000" w:themeColor="text1"/>
          <w:sz w:val="24"/>
          <w:szCs w:val="24"/>
        </w:rPr>
        <w:tab/>
      </w:r>
      <w:r w:rsidR="00365D76" w:rsidRPr="00CC7DE6">
        <w:rPr>
          <w:rFonts w:ascii="Arial" w:hAnsi="Arial" w:cs="Arial"/>
          <w:color w:val="000000" w:themeColor="text1"/>
          <w:sz w:val="24"/>
          <w:szCs w:val="24"/>
        </w:rPr>
        <w:t xml:space="preserve">Ms Toner referred to the Great Britain Upper Tribunal decision of </w:t>
      </w:r>
      <w:r w:rsidR="00365D76" w:rsidRPr="00CC7DE6">
        <w:rPr>
          <w:rFonts w:ascii="Arial" w:hAnsi="Arial" w:cs="Arial"/>
          <w:i/>
          <w:iCs/>
          <w:color w:val="000000" w:themeColor="text1"/>
          <w:sz w:val="24"/>
          <w:szCs w:val="24"/>
        </w:rPr>
        <w:t>CT v Secretary of State for Work and Pensions</w:t>
      </w:r>
      <w:r w:rsidR="00365D76" w:rsidRPr="00CC7DE6">
        <w:rPr>
          <w:rFonts w:ascii="Arial" w:hAnsi="Arial" w:cs="Arial"/>
          <w:color w:val="000000" w:themeColor="text1"/>
          <w:sz w:val="24"/>
          <w:szCs w:val="24"/>
        </w:rPr>
        <w:t xml:space="preserve"> [2021] UKUT 131. </w:t>
      </w:r>
      <w:r>
        <w:rPr>
          <w:rFonts w:ascii="Arial" w:hAnsi="Arial" w:cs="Arial"/>
          <w:color w:val="000000" w:themeColor="text1"/>
          <w:sz w:val="24"/>
          <w:szCs w:val="24"/>
        </w:rPr>
        <w:t xml:space="preserve"> </w:t>
      </w:r>
      <w:r w:rsidR="00365D76" w:rsidRPr="00CC7DE6">
        <w:rPr>
          <w:rFonts w:ascii="Arial" w:hAnsi="Arial" w:cs="Arial"/>
          <w:color w:val="000000" w:themeColor="text1"/>
          <w:sz w:val="24"/>
          <w:szCs w:val="24"/>
        </w:rPr>
        <w:t xml:space="preserve">There, Judge West had referred to the need for the tribunal to properly assess the claimant’s level of drinking. </w:t>
      </w:r>
      <w:r>
        <w:rPr>
          <w:rFonts w:ascii="Arial" w:hAnsi="Arial" w:cs="Arial"/>
          <w:color w:val="000000" w:themeColor="text1"/>
          <w:sz w:val="24"/>
          <w:szCs w:val="24"/>
        </w:rPr>
        <w:t xml:space="preserve"> </w:t>
      </w:r>
      <w:r w:rsidR="00365D76" w:rsidRPr="00CC7DE6">
        <w:rPr>
          <w:rFonts w:ascii="Arial" w:hAnsi="Arial" w:cs="Arial"/>
          <w:color w:val="000000" w:themeColor="text1"/>
          <w:sz w:val="24"/>
          <w:szCs w:val="24"/>
        </w:rPr>
        <w:t>She submitted that it was not clear if the tribunal adequately examined pattern of the appellant’s daily drinking, with associated depression and memory loss issues, and whether this was sufficient to meet the requirements under paragraph 4 of Schedule 9.</w:t>
      </w:r>
      <w:r>
        <w:rPr>
          <w:rFonts w:ascii="Arial" w:hAnsi="Arial" w:cs="Arial"/>
          <w:color w:val="000000" w:themeColor="text1"/>
          <w:sz w:val="24"/>
          <w:szCs w:val="24"/>
        </w:rPr>
        <w:t xml:space="preserve"> </w:t>
      </w:r>
      <w:r w:rsidR="00365D76" w:rsidRPr="00CC7DE6">
        <w:rPr>
          <w:rFonts w:ascii="Arial" w:hAnsi="Arial" w:cs="Arial"/>
          <w:color w:val="000000" w:themeColor="text1"/>
          <w:sz w:val="24"/>
          <w:szCs w:val="24"/>
        </w:rPr>
        <w:t xml:space="preserve"> She accepted that the tribunal had erred in law on this point also.</w:t>
      </w:r>
    </w:p>
    <w:p w14:paraId="6D66A525" w14:textId="77777777" w:rsidR="0068284B" w:rsidRPr="00CC7DE6" w:rsidRDefault="0068284B" w:rsidP="001B4A23">
      <w:pPr>
        <w:tabs>
          <w:tab w:val="left" w:pos="510"/>
          <w:tab w:val="left" w:pos="1077"/>
          <w:tab w:val="left" w:pos="1797"/>
        </w:tabs>
        <w:spacing w:after="0" w:line="240" w:lineRule="auto"/>
        <w:rPr>
          <w:rFonts w:ascii="Arial" w:hAnsi="Arial" w:cs="Arial"/>
          <w:color w:val="000000" w:themeColor="text1"/>
          <w:sz w:val="24"/>
          <w:szCs w:val="24"/>
        </w:rPr>
      </w:pPr>
    </w:p>
    <w:p w14:paraId="15DA5FB9" w14:textId="3FDD5DFD" w:rsidR="007D318C" w:rsidRPr="00CC7DE6" w:rsidRDefault="00FD5F0E" w:rsidP="001B4A23">
      <w:pPr>
        <w:tabs>
          <w:tab w:val="left" w:pos="510"/>
          <w:tab w:val="left" w:pos="1077"/>
          <w:tab w:val="left" w:pos="1797"/>
        </w:tabs>
        <w:spacing w:after="0" w:line="240" w:lineRule="auto"/>
        <w:rPr>
          <w:rFonts w:ascii="Arial" w:hAnsi="Arial" w:cs="Arial"/>
          <w:i/>
          <w:iCs/>
          <w:color w:val="000000" w:themeColor="text1"/>
          <w:sz w:val="24"/>
          <w:szCs w:val="24"/>
        </w:rPr>
      </w:pPr>
      <w:r>
        <w:rPr>
          <w:rFonts w:ascii="Arial" w:hAnsi="Arial" w:cs="Arial"/>
          <w:i/>
          <w:iCs/>
          <w:color w:val="000000" w:themeColor="text1"/>
          <w:sz w:val="24"/>
          <w:szCs w:val="24"/>
        </w:rPr>
        <w:tab/>
      </w:r>
      <w:r w:rsidR="00365D76" w:rsidRPr="00CC7DE6">
        <w:rPr>
          <w:rFonts w:ascii="Arial" w:hAnsi="Arial" w:cs="Arial"/>
          <w:i/>
          <w:iCs/>
          <w:color w:val="000000" w:themeColor="text1"/>
          <w:sz w:val="24"/>
          <w:szCs w:val="24"/>
        </w:rPr>
        <w:t>Conclusions</w:t>
      </w:r>
    </w:p>
    <w:p w14:paraId="7597099B" w14:textId="77777777" w:rsidR="00365D76" w:rsidRPr="00CC7DE6" w:rsidRDefault="00365D76" w:rsidP="001B4A23">
      <w:pPr>
        <w:tabs>
          <w:tab w:val="left" w:pos="510"/>
          <w:tab w:val="left" w:pos="1077"/>
          <w:tab w:val="left" w:pos="1797"/>
        </w:tabs>
        <w:spacing w:after="0" w:line="240" w:lineRule="auto"/>
        <w:rPr>
          <w:rFonts w:ascii="Arial" w:hAnsi="Arial" w:cs="Arial"/>
          <w:color w:val="000000" w:themeColor="text1"/>
          <w:sz w:val="24"/>
          <w:szCs w:val="24"/>
        </w:rPr>
      </w:pPr>
    </w:p>
    <w:p w14:paraId="3E587180" w14:textId="69C0CB21" w:rsidR="007839B1" w:rsidRPr="00CC7DE6" w:rsidRDefault="001037DB"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32.</w:t>
      </w:r>
      <w:r>
        <w:rPr>
          <w:rFonts w:ascii="Arial" w:hAnsi="Arial" w:cs="Arial"/>
          <w:color w:val="000000" w:themeColor="text1"/>
          <w:sz w:val="24"/>
          <w:szCs w:val="24"/>
        </w:rPr>
        <w:tab/>
      </w:r>
      <w:proofErr w:type="gramStart"/>
      <w:r w:rsidR="00365D76" w:rsidRPr="00CC7DE6">
        <w:rPr>
          <w:rFonts w:ascii="Arial" w:hAnsi="Arial" w:cs="Arial"/>
          <w:color w:val="000000" w:themeColor="text1"/>
          <w:sz w:val="24"/>
          <w:szCs w:val="24"/>
        </w:rPr>
        <w:t>Both of the appellant’s</w:t>
      </w:r>
      <w:proofErr w:type="gramEnd"/>
      <w:r w:rsidR="00365D76" w:rsidRPr="00CC7DE6">
        <w:rPr>
          <w:rFonts w:ascii="Arial" w:hAnsi="Arial" w:cs="Arial"/>
          <w:color w:val="000000" w:themeColor="text1"/>
          <w:sz w:val="24"/>
          <w:szCs w:val="24"/>
        </w:rPr>
        <w:t xml:space="preserve"> grounds of appeal are supported by the Department. </w:t>
      </w:r>
      <w:r>
        <w:rPr>
          <w:rFonts w:ascii="Arial" w:hAnsi="Arial" w:cs="Arial"/>
          <w:color w:val="000000" w:themeColor="text1"/>
          <w:sz w:val="24"/>
          <w:szCs w:val="24"/>
        </w:rPr>
        <w:t xml:space="preserve"> </w:t>
      </w:r>
      <w:r w:rsidR="00365D76" w:rsidRPr="00CC7DE6">
        <w:rPr>
          <w:rFonts w:ascii="Arial" w:hAnsi="Arial" w:cs="Arial"/>
          <w:color w:val="000000" w:themeColor="text1"/>
          <w:sz w:val="24"/>
          <w:szCs w:val="24"/>
        </w:rPr>
        <w:t xml:space="preserve">I consider that the support is well judged. </w:t>
      </w:r>
      <w:r>
        <w:rPr>
          <w:rFonts w:ascii="Arial" w:hAnsi="Arial" w:cs="Arial"/>
          <w:color w:val="000000" w:themeColor="text1"/>
          <w:sz w:val="24"/>
          <w:szCs w:val="24"/>
        </w:rPr>
        <w:t xml:space="preserve"> </w:t>
      </w:r>
      <w:r w:rsidR="00365D76" w:rsidRPr="00CC7DE6">
        <w:rPr>
          <w:rFonts w:ascii="Arial" w:hAnsi="Arial" w:cs="Arial"/>
          <w:color w:val="000000" w:themeColor="text1"/>
          <w:sz w:val="24"/>
          <w:szCs w:val="24"/>
        </w:rPr>
        <w:t xml:space="preserve">The appellant’s representative has set out a clear case </w:t>
      </w:r>
      <w:r w:rsidR="00385D58" w:rsidRPr="00CC7DE6">
        <w:rPr>
          <w:rFonts w:ascii="Arial" w:hAnsi="Arial" w:cs="Arial"/>
          <w:color w:val="000000" w:themeColor="text1"/>
          <w:sz w:val="24"/>
          <w:szCs w:val="24"/>
        </w:rPr>
        <w:t>based upon the relevant case law.</w:t>
      </w:r>
    </w:p>
    <w:p w14:paraId="62070E72" w14:textId="77777777" w:rsidR="007839B1" w:rsidRPr="00CC7DE6" w:rsidRDefault="007839B1"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3C2082D" w14:textId="4184B3B3" w:rsidR="007839B1" w:rsidRPr="00CC7DE6" w:rsidRDefault="001037DB"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33.</w:t>
      </w:r>
      <w:r>
        <w:rPr>
          <w:rFonts w:ascii="Arial" w:hAnsi="Arial" w:cs="Arial"/>
          <w:color w:val="000000" w:themeColor="text1"/>
          <w:sz w:val="24"/>
          <w:szCs w:val="24"/>
        </w:rPr>
        <w:tab/>
      </w:r>
      <w:r w:rsidR="00AB5A1C" w:rsidRPr="00CC7DE6">
        <w:rPr>
          <w:rFonts w:ascii="Arial" w:hAnsi="Arial" w:cs="Arial"/>
          <w:color w:val="000000" w:themeColor="text1"/>
          <w:sz w:val="24"/>
          <w:szCs w:val="24"/>
        </w:rPr>
        <w:t>In addressing the issue of substantial risk in the context of paragraph 4 of Schedule 9, t</w:t>
      </w:r>
      <w:r w:rsidR="00385D58" w:rsidRPr="00CC7DE6">
        <w:rPr>
          <w:rFonts w:ascii="Arial" w:hAnsi="Arial" w:cs="Arial"/>
          <w:color w:val="000000" w:themeColor="text1"/>
          <w:sz w:val="24"/>
          <w:szCs w:val="24"/>
        </w:rPr>
        <w:t xml:space="preserve">he tribunal was required to address the types of work-related activity that were available to the appellant in his local area. </w:t>
      </w:r>
      <w:r>
        <w:rPr>
          <w:rFonts w:ascii="Arial" w:hAnsi="Arial" w:cs="Arial"/>
          <w:color w:val="000000" w:themeColor="text1"/>
          <w:sz w:val="24"/>
          <w:szCs w:val="24"/>
        </w:rPr>
        <w:t xml:space="preserve"> </w:t>
      </w:r>
      <w:r w:rsidR="00385D58" w:rsidRPr="00CC7DE6">
        <w:rPr>
          <w:rFonts w:ascii="Arial" w:hAnsi="Arial" w:cs="Arial"/>
          <w:color w:val="000000" w:themeColor="text1"/>
          <w:sz w:val="24"/>
          <w:szCs w:val="24"/>
        </w:rPr>
        <w:t xml:space="preserve">The Department did not provide any evidence of that. </w:t>
      </w:r>
      <w:r>
        <w:rPr>
          <w:rFonts w:ascii="Arial" w:hAnsi="Arial" w:cs="Arial"/>
          <w:color w:val="000000" w:themeColor="text1"/>
          <w:sz w:val="24"/>
          <w:szCs w:val="24"/>
        </w:rPr>
        <w:t xml:space="preserve"> </w:t>
      </w:r>
      <w:r w:rsidR="00385D58" w:rsidRPr="00CC7DE6">
        <w:rPr>
          <w:rFonts w:ascii="Arial" w:hAnsi="Arial" w:cs="Arial"/>
          <w:color w:val="000000" w:themeColor="text1"/>
          <w:sz w:val="24"/>
          <w:szCs w:val="24"/>
        </w:rPr>
        <w:t xml:space="preserve">However, the tribunal </w:t>
      </w:r>
      <w:r w:rsidR="00D917BD" w:rsidRPr="00CC7DE6">
        <w:rPr>
          <w:rFonts w:ascii="Arial" w:hAnsi="Arial" w:cs="Arial"/>
          <w:color w:val="000000" w:themeColor="text1"/>
          <w:sz w:val="24"/>
          <w:szCs w:val="24"/>
        </w:rPr>
        <w:t>did not then</w:t>
      </w:r>
      <w:r w:rsidR="00385D58" w:rsidRPr="00CC7DE6">
        <w:rPr>
          <w:rFonts w:ascii="Arial" w:hAnsi="Arial" w:cs="Arial"/>
          <w:color w:val="000000" w:themeColor="text1"/>
          <w:sz w:val="24"/>
          <w:szCs w:val="24"/>
        </w:rPr>
        <w:t xml:space="preserve"> direct production </w:t>
      </w:r>
      <w:r w:rsidR="00832F22" w:rsidRPr="00CC7DE6">
        <w:rPr>
          <w:rFonts w:ascii="Arial" w:hAnsi="Arial" w:cs="Arial"/>
          <w:color w:val="000000" w:themeColor="text1"/>
          <w:sz w:val="24"/>
          <w:szCs w:val="24"/>
        </w:rPr>
        <w:t xml:space="preserve">by the Department </w:t>
      </w:r>
      <w:r w:rsidR="00385D58" w:rsidRPr="00CC7DE6">
        <w:rPr>
          <w:rFonts w:ascii="Arial" w:hAnsi="Arial" w:cs="Arial"/>
          <w:color w:val="000000" w:themeColor="text1"/>
          <w:sz w:val="24"/>
          <w:szCs w:val="24"/>
        </w:rPr>
        <w:t>of relevant evidence</w:t>
      </w:r>
      <w:r w:rsidR="00832F22" w:rsidRPr="00CC7DE6">
        <w:rPr>
          <w:rFonts w:ascii="Arial" w:hAnsi="Arial" w:cs="Arial"/>
          <w:color w:val="000000" w:themeColor="text1"/>
          <w:sz w:val="24"/>
          <w:szCs w:val="24"/>
        </w:rPr>
        <w:t>.</w:t>
      </w:r>
    </w:p>
    <w:p w14:paraId="05C07B3F" w14:textId="77777777" w:rsidR="007839B1" w:rsidRPr="00CC7DE6" w:rsidRDefault="007839B1" w:rsidP="001037DB">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4444CBA5" w14:textId="21B77D6F" w:rsidR="007839B1" w:rsidRPr="00CC7DE6" w:rsidRDefault="001037DB"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34.</w:t>
      </w:r>
      <w:r>
        <w:rPr>
          <w:rFonts w:ascii="Arial" w:hAnsi="Arial" w:cs="Arial"/>
          <w:color w:val="000000" w:themeColor="text1"/>
          <w:sz w:val="24"/>
          <w:szCs w:val="24"/>
        </w:rPr>
        <w:tab/>
      </w:r>
      <w:r w:rsidR="00D917BD" w:rsidRPr="00CC7DE6">
        <w:rPr>
          <w:rFonts w:ascii="Arial" w:hAnsi="Arial" w:cs="Arial"/>
          <w:color w:val="000000" w:themeColor="text1"/>
          <w:sz w:val="24"/>
          <w:szCs w:val="24"/>
        </w:rPr>
        <w:t>I observe that e</w:t>
      </w:r>
      <w:r w:rsidR="00832F22" w:rsidRPr="00CC7DE6">
        <w:rPr>
          <w:rFonts w:ascii="Arial" w:hAnsi="Arial" w:cs="Arial"/>
          <w:color w:val="000000" w:themeColor="text1"/>
          <w:sz w:val="24"/>
          <w:szCs w:val="24"/>
        </w:rPr>
        <w:t xml:space="preserve">xamples of </w:t>
      </w:r>
      <w:proofErr w:type="gramStart"/>
      <w:r w:rsidR="00832F22" w:rsidRPr="00CC7DE6">
        <w:rPr>
          <w:rFonts w:ascii="Arial" w:hAnsi="Arial" w:cs="Arial"/>
          <w:color w:val="000000" w:themeColor="text1"/>
          <w:sz w:val="24"/>
          <w:szCs w:val="24"/>
        </w:rPr>
        <w:t>work related</w:t>
      </w:r>
      <w:proofErr w:type="gramEnd"/>
      <w:r w:rsidR="00832F22" w:rsidRPr="00CC7DE6">
        <w:rPr>
          <w:rFonts w:ascii="Arial" w:hAnsi="Arial" w:cs="Arial"/>
          <w:color w:val="000000" w:themeColor="text1"/>
          <w:sz w:val="24"/>
          <w:szCs w:val="24"/>
        </w:rPr>
        <w:t xml:space="preserve"> programmes in Northern Ireland appear in an Appendix to DMG Memo 8/90</w:t>
      </w:r>
      <w:r w:rsidR="00D917BD" w:rsidRPr="00CC7DE6">
        <w:rPr>
          <w:rFonts w:ascii="Arial" w:hAnsi="Arial" w:cs="Arial"/>
          <w:color w:val="000000" w:themeColor="text1"/>
          <w:sz w:val="24"/>
          <w:szCs w:val="24"/>
        </w:rPr>
        <w:t xml:space="preserve"> in the context of ESA and as an Appendix to ADM Memo 10/18 in the context of ESA and UC</w:t>
      </w:r>
      <w:r w:rsidR="00832F22" w:rsidRPr="00CC7DE6">
        <w:rPr>
          <w:rFonts w:ascii="Arial" w:hAnsi="Arial" w:cs="Arial"/>
          <w:color w:val="000000" w:themeColor="text1"/>
          <w:sz w:val="24"/>
          <w:szCs w:val="24"/>
        </w:rPr>
        <w:t>.</w:t>
      </w:r>
      <w:r>
        <w:rPr>
          <w:rFonts w:ascii="Arial" w:hAnsi="Arial" w:cs="Arial"/>
          <w:color w:val="000000" w:themeColor="text1"/>
          <w:sz w:val="24"/>
          <w:szCs w:val="24"/>
        </w:rPr>
        <w:t xml:space="preserve"> </w:t>
      </w:r>
      <w:r w:rsidR="00832F22" w:rsidRPr="00CC7DE6">
        <w:rPr>
          <w:rFonts w:ascii="Arial" w:hAnsi="Arial" w:cs="Arial"/>
          <w:color w:val="000000" w:themeColor="text1"/>
          <w:sz w:val="24"/>
          <w:szCs w:val="24"/>
        </w:rPr>
        <w:t xml:space="preserve"> It </w:t>
      </w:r>
      <w:r w:rsidR="00D917BD" w:rsidRPr="00CC7DE6">
        <w:rPr>
          <w:rFonts w:ascii="Arial" w:hAnsi="Arial" w:cs="Arial"/>
          <w:color w:val="000000" w:themeColor="text1"/>
          <w:sz w:val="24"/>
          <w:szCs w:val="24"/>
        </w:rPr>
        <w:t>i</w:t>
      </w:r>
      <w:r w:rsidR="00832F22" w:rsidRPr="00CC7DE6">
        <w:rPr>
          <w:rFonts w:ascii="Arial" w:hAnsi="Arial" w:cs="Arial"/>
          <w:color w:val="000000" w:themeColor="text1"/>
          <w:sz w:val="24"/>
          <w:szCs w:val="24"/>
        </w:rPr>
        <w:t>s not clear</w:t>
      </w:r>
      <w:r w:rsidR="00D917BD" w:rsidRPr="00CC7DE6">
        <w:rPr>
          <w:rFonts w:ascii="Arial" w:hAnsi="Arial" w:cs="Arial"/>
          <w:color w:val="000000" w:themeColor="text1"/>
          <w:sz w:val="24"/>
          <w:szCs w:val="24"/>
        </w:rPr>
        <w:t xml:space="preserve"> </w:t>
      </w:r>
      <w:r w:rsidR="00AB5A1C" w:rsidRPr="00CC7DE6">
        <w:rPr>
          <w:rFonts w:ascii="Arial" w:hAnsi="Arial" w:cs="Arial"/>
          <w:color w:val="000000" w:themeColor="text1"/>
          <w:sz w:val="24"/>
          <w:szCs w:val="24"/>
        </w:rPr>
        <w:t xml:space="preserve">from the documents </w:t>
      </w:r>
      <w:r w:rsidR="00832F22" w:rsidRPr="00CC7DE6">
        <w:rPr>
          <w:rFonts w:ascii="Arial" w:hAnsi="Arial" w:cs="Arial"/>
          <w:color w:val="000000" w:themeColor="text1"/>
          <w:sz w:val="24"/>
          <w:szCs w:val="24"/>
        </w:rPr>
        <w:t xml:space="preserve">whether all or any of those programmes were available in the appellant’s local area. </w:t>
      </w:r>
      <w:r>
        <w:rPr>
          <w:rFonts w:ascii="Arial" w:hAnsi="Arial" w:cs="Arial"/>
          <w:color w:val="000000" w:themeColor="text1"/>
          <w:sz w:val="24"/>
          <w:szCs w:val="24"/>
        </w:rPr>
        <w:t xml:space="preserve"> </w:t>
      </w:r>
      <w:r w:rsidR="00AB5A1C" w:rsidRPr="00CC7DE6">
        <w:rPr>
          <w:rFonts w:ascii="Arial" w:hAnsi="Arial" w:cs="Arial"/>
          <w:color w:val="000000" w:themeColor="text1"/>
          <w:sz w:val="24"/>
          <w:szCs w:val="24"/>
        </w:rPr>
        <w:t>Therefore, bare reference to these Departmental guidance memos would appear to be insufficient.</w:t>
      </w:r>
      <w:r>
        <w:rPr>
          <w:rFonts w:ascii="Arial" w:hAnsi="Arial" w:cs="Arial"/>
          <w:color w:val="000000" w:themeColor="text1"/>
          <w:sz w:val="24"/>
          <w:szCs w:val="24"/>
        </w:rPr>
        <w:t xml:space="preserve"> </w:t>
      </w:r>
      <w:r w:rsidR="00AB5A1C" w:rsidRPr="00CC7DE6">
        <w:rPr>
          <w:rFonts w:ascii="Arial" w:hAnsi="Arial" w:cs="Arial"/>
          <w:color w:val="000000" w:themeColor="text1"/>
          <w:sz w:val="24"/>
          <w:szCs w:val="24"/>
        </w:rPr>
        <w:t xml:space="preserve"> I consider that</w:t>
      </w:r>
      <w:r w:rsidR="00832F22" w:rsidRPr="00CC7DE6">
        <w:rPr>
          <w:rFonts w:ascii="Arial" w:hAnsi="Arial" w:cs="Arial"/>
          <w:color w:val="000000" w:themeColor="text1"/>
          <w:sz w:val="24"/>
          <w:szCs w:val="24"/>
        </w:rPr>
        <w:t xml:space="preserve"> a summary of </w:t>
      </w:r>
      <w:r w:rsidR="00AB5A1C" w:rsidRPr="00CC7DE6">
        <w:rPr>
          <w:rFonts w:ascii="Arial" w:hAnsi="Arial" w:cs="Arial"/>
          <w:color w:val="000000" w:themeColor="text1"/>
          <w:sz w:val="24"/>
          <w:szCs w:val="24"/>
        </w:rPr>
        <w:t xml:space="preserve">locally </w:t>
      </w:r>
      <w:r w:rsidR="00832F22" w:rsidRPr="00CC7DE6">
        <w:rPr>
          <w:rFonts w:ascii="Arial" w:hAnsi="Arial" w:cs="Arial"/>
          <w:color w:val="000000" w:themeColor="text1"/>
          <w:sz w:val="24"/>
          <w:szCs w:val="24"/>
        </w:rPr>
        <w:t xml:space="preserve">available programmes and what was entailed in them was necessary </w:t>
      </w:r>
      <w:proofErr w:type="gramStart"/>
      <w:r w:rsidR="00832F22" w:rsidRPr="00CC7DE6">
        <w:rPr>
          <w:rFonts w:ascii="Arial" w:hAnsi="Arial" w:cs="Arial"/>
          <w:color w:val="000000" w:themeColor="text1"/>
          <w:sz w:val="24"/>
          <w:szCs w:val="24"/>
        </w:rPr>
        <w:t>in order for</w:t>
      </w:r>
      <w:proofErr w:type="gramEnd"/>
      <w:r w:rsidR="00832F22" w:rsidRPr="00CC7DE6">
        <w:rPr>
          <w:rFonts w:ascii="Arial" w:hAnsi="Arial" w:cs="Arial"/>
          <w:color w:val="000000" w:themeColor="text1"/>
          <w:sz w:val="24"/>
          <w:szCs w:val="24"/>
        </w:rPr>
        <w:t xml:space="preserve"> the tribunal to assess the question arising under paragraph 4 of Schedule 9. </w:t>
      </w:r>
      <w:r>
        <w:rPr>
          <w:rFonts w:ascii="Arial" w:hAnsi="Arial" w:cs="Arial"/>
          <w:color w:val="000000" w:themeColor="text1"/>
          <w:sz w:val="24"/>
          <w:szCs w:val="24"/>
        </w:rPr>
        <w:t xml:space="preserve"> </w:t>
      </w:r>
      <w:r w:rsidR="00AB5A1C" w:rsidRPr="00CC7DE6">
        <w:rPr>
          <w:rFonts w:ascii="Arial" w:hAnsi="Arial" w:cs="Arial"/>
          <w:color w:val="000000" w:themeColor="text1"/>
          <w:sz w:val="24"/>
          <w:szCs w:val="24"/>
        </w:rPr>
        <w:t>In the absence of such evidence, it was not possible for the tribunal to arrive at a rational conclusion on the issue before it.</w:t>
      </w:r>
      <w:r>
        <w:rPr>
          <w:rFonts w:ascii="Arial" w:hAnsi="Arial" w:cs="Arial"/>
          <w:color w:val="000000" w:themeColor="text1"/>
          <w:sz w:val="24"/>
          <w:szCs w:val="24"/>
        </w:rPr>
        <w:t xml:space="preserve"> </w:t>
      </w:r>
      <w:r w:rsidR="00AB5A1C" w:rsidRPr="00CC7DE6">
        <w:rPr>
          <w:rFonts w:ascii="Arial" w:hAnsi="Arial" w:cs="Arial"/>
          <w:color w:val="000000" w:themeColor="text1"/>
          <w:sz w:val="24"/>
          <w:szCs w:val="24"/>
        </w:rPr>
        <w:t xml:space="preserve"> I conclude that it has erred in law for deciding the question in the absence of sufficient evidence.</w:t>
      </w:r>
    </w:p>
    <w:p w14:paraId="1E4555C8" w14:textId="77777777" w:rsidR="007839B1" w:rsidRPr="00CC7DE6" w:rsidRDefault="007839B1" w:rsidP="001037DB">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4F88F27" w14:textId="0A1CCEB5" w:rsidR="007839B1" w:rsidRPr="00CC7DE6" w:rsidRDefault="001037DB"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35.</w:t>
      </w:r>
      <w:r>
        <w:rPr>
          <w:rFonts w:ascii="Arial" w:hAnsi="Arial" w:cs="Arial"/>
          <w:color w:val="000000" w:themeColor="text1"/>
          <w:sz w:val="24"/>
          <w:szCs w:val="24"/>
        </w:rPr>
        <w:tab/>
      </w:r>
      <w:r w:rsidR="00372A91" w:rsidRPr="00CC7DE6">
        <w:rPr>
          <w:rFonts w:ascii="Arial" w:hAnsi="Arial" w:cs="Arial"/>
          <w:color w:val="000000" w:themeColor="text1"/>
          <w:sz w:val="24"/>
          <w:szCs w:val="24"/>
        </w:rPr>
        <w:t xml:space="preserve">I observe that a three-judge panel of the Upper Tribunal considered alcohol dependence and its relevance to a person’s capability for work in </w:t>
      </w:r>
      <w:r w:rsidR="00372A91" w:rsidRPr="00CC7DE6">
        <w:rPr>
          <w:rFonts w:ascii="Arial" w:hAnsi="Arial" w:cs="Arial"/>
          <w:i/>
          <w:iCs/>
          <w:color w:val="000000" w:themeColor="text1"/>
          <w:sz w:val="24"/>
          <w:szCs w:val="24"/>
        </w:rPr>
        <w:t>JG v Secretary of State for Work and Pensions</w:t>
      </w:r>
      <w:r w:rsidR="00372A91" w:rsidRPr="00CC7DE6">
        <w:rPr>
          <w:rFonts w:ascii="Arial" w:hAnsi="Arial" w:cs="Arial"/>
          <w:color w:val="000000" w:themeColor="text1"/>
          <w:sz w:val="24"/>
          <w:szCs w:val="24"/>
        </w:rPr>
        <w:t xml:space="preserve"> [2013] UKUT 37. </w:t>
      </w:r>
      <w:r>
        <w:rPr>
          <w:rFonts w:ascii="Arial" w:hAnsi="Arial" w:cs="Arial"/>
          <w:color w:val="000000" w:themeColor="text1"/>
          <w:sz w:val="24"/>
          <w:szCs w:val="24"/>
        </w:rPr>
        <w:t xml:space="preserve"> </w:t>
      </w:r>
      <w:r w:rsidR="00372A91" w:rsidRPr="00CC7DE6">
        <w:rPr>
          <w:rFonts w:ascii="Arial" w:hAnsi="Arial" w:cs="Arial"/>
          <w:color w:val="000000" w:themeColor="text1"/>
          <w:sz w:val="24"/>
          <w:szCs w:val="24"/>
        </w:rPr>
        <w:t xml:space="preserve">It found that alcohol misuse must rank as “alcohol dependency” by reference to the conclusions of the Great Britain Tribunal of Commissioners in R(DLA)6/06 </w:t>
      </w:r>
      <w:proofErr w:type="gramStart"/>
      <w:r w:rsidR="00372A91" w:rsidRPr="00CC7DE6">
        <w:rPr>
          <w:rFonts w:ascii="Arial" w:hAnsi="Arial" w:cs="Arial"/>
          <w:color w:val="000000" w:themeColor="text1"/>
          <w:sz w:val="24"/>
          <w:szCs w:val="24"/>
        </w:rPr>
        <w:t>in order to</w:t>
      </w:r>
      <w:proofErr w:type="gramEnd"/>
      <w:r w:rsidR="00372A91" w:rsidRPr="00CC7DE6">
        <w:rPr>
          <w:rFonts w:ascii="Arial" w:hAnsi="Arial" w:cs="Arial"/>
          <w:color w:val="000000" w:themeColor="text1"/>
          <w:sz w:val="24"/>
          <w:szCs w:val="24"/>
        </w:rPr>
        <w:t xml:space="preserve"> constitute a “disablement” for the purposes of the ESA Regulations.</w:t>
      </w:r>
      <w:r>
        <w:rPr>
          <w:rFonts w:ascii="Arial" w:hAnsi="Arial" w:cs="Arial"/>
          <w:color w:val="000000" w:themeColor="text1"/>
          <w:sz w:val="24"/>
          <w:szCs w:val="24"/>
        </w:rPr>
        <w:t xml:space="preserve"> </w:t>
      </w:r>
      <w:r w:rsidR="00372A91" w:rsidRPr="00CC7DE6">
        <w:rPr>
          <w:rFonts w:ascii="Arial" w:hAnsi="Arial" w:cs="Arial"/>
          <w:color w:val="000000" w:themeColor="text1"/>
          <w:sz w:val="24"/>
          <w:szCs w:val="24"/>
        </w:rPr>
        <w:t xml:space="preserve"> I accept that the same considerations must apply in the context of UC.</w:t>
      </w:r>
    </w:p>
    <w:p w14:paraId="2E98BF88" w14:textId="77777777" w:rsidR="007839B1" w:rsidRPr="00CC7DE6" w:rsidRDefault="007839B1" w:rsidP="001037DB">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4F8A19E" w14:textId="3BA81D6F" w:rsidR="007839B1" w:rsidRPr="00CC7DE6" w:rsidRDefault="001037DB"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36.</w:t>
      </w:r>
      <w:r>
        <w:rPr>
          <w:rFonts w:ascii="Arial" w:hAnsi="Arial" w:cs="Arial"/>
          <w:color w:val="000000" w:themeColor="text1"/>
          <w:sz w:val="24"/>
          <w:szCs w:val="24"/>
        </w:rPr>
        <w:tab/>
      </w:r>
      <w:r w:rsidR="00AB5A1C" w:rsidRPr="00CC7DE6">
        <w:rPr>
          <w:rFonts w:ascii="Arial" w:hAnsi="Arial" w:cs="Arial"/>
          <w:color w:val="000000" w:themeColor="text1"/>
          <w:sz w:val="24"/>
          <w:szCs w:val="24"/>
        </w:rPr>
        <w:t xml:space="preserve">On the question of the issue of substantial risk </w:t>
      </w:r>
      <w:proofErr w:type="gramStart"/>
      <w:r w:rsidR="00AB5A1C" w:rsidRPr="00CC7DE6">
        <w:rPr>
          <w:rFonts w:ascii="Arial" w:hAnsi="Arial" w:cs="Arial"/>
          <w:color w:val="000000" w:themeColor="text1"/>
          <w:sz w:val="24"/>
          <w:szCs w:val="24"/>
        </w:rPr>
        <w:t>in light of</w:t>
      </w:r>
      <w:proofErr w:type="gramEnd"/>
      <w:r w:rsidR="00AB5A1C" w:rsidRPr="00CC7DE6">
        <w:rPr>
          <w:rFonts w:ascii="Arial" w:hAnsi="Arial" w:cs="Arial"/>
          <w:color w:val="000000" w:themeColor="text1"/>
          <w:sz w:val="24"/>
          <w:szCs w:val="24"/>
        </w:rPr>
        <w:t xml:space="preserve"> the appellant’s health issues</w:t>
      </w:r>
      <w:r w:rsidR="00372A91" w:rsidRPr="00CC7DE6">
        <w:rPr>
          <w:rFonts w:ascii="Arial" w:hAnsi="Arial" w:cs="Arial"/>
          <w:color w:val="000000" w:themeColor="text1"/>
          <w:sz w:val="24"/>
          <w:szCs w:val="24"/>
        </w:rPr>
        <w:t xml:space="preserve"> in the present case</w:t>
      </w:r>
      <w:r w:rsidR="00AB5A1C" w:rsidRPr="00CC7DE6">
        <w:rPr>
          <w:rFonts w:ascii="Arial" w:hAnsi="Arial" w:cs="Arial"/>
          <w:color w:val="000000" w:themeColor="text1"/>
          <w:sz w:val="24"/>
          <w:szCs w:val="24"/>
        </w:rPr>
        <w:t xml:space="preserve">, it appears to me that there is merit in the appeal. </w:t>
      </w:r>
      <w:r>
        <w:rPr>
          <w:rFonts w:ascii="Arial" w:hAnsi="Arial" w:cs="Arial"/>
          <w:color w:val="000000" w:themeColor="text1"/>
          <w:sz w:val="24"/>
          <w:szCs w:val="24"/>
        </w:rPr>
        <w:t xml:space="preserve"> </w:t>
      </w:r>
      <w:r w:rsidR="00AB5A1C" w:rsidRPr="00CC7DE6">
        <w:rPr>
          <w:rFonts w:ascii="Arial" w:hAnsi="Arial" w:cs="Arial"/>
          <w:color w:val="000000" w:themeColor="text1"/>
          <w:sz w:val="24"/>
          <w:szCs w:val="24"/>
        </w:rPr>
        <w:t xml:space="preserve">I do not consider that the tribunal asked the right questions to establish whether the claimant’s drinking amounted to alcohol dependency </w:t>
      </w:r>
      <w:r w:rsidR="00EE7462" w:rsidRPr="00CC7DE6">
        <w:rPr>
          <w:rFonts w:ascii="Arial" w:hAnsi="Arial" w:cs="Arial"/>
          <w:color w:val="000000" w:themeColor="text1"/>
          <w:sz w:val="24"/>
          <w:szCs w:val="24"/>
        </w:rPr>
        <w:t>and whether it</w:t>
      </w:r>
      <w:r w:rsidR="00AB5A1C" w:rsidRPr="00CC7DE6">
        <w:rPr>
          <w:rFonts w:ascii="Arial" w:hAnsi="Arial" w:cs="Arial"/>
          <w:color w:val="000000" w:themeColor="text1"/>
          <w:sz w:val="24"/>
          <w:szCs w:val="24"/>
        </w:rPr>
        <w:t xml:space="preserve"> was sufficient to bring him within the scope of paragraph 4 of Schedule 9.</w:t>
      </w:r>
    </w:p>
    <w:p w14:paraId="415D02BD" w14:textId="77777777" w:rsidR="007839B1" w:rsidRPr="00CC7DE6" w:rsidRDefault="007839B1" w:rsidP="001037DB">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283EEC6C" w14:textId="4DC5E34F" w:rsidR="00372A91" w:rsidRPr="00CC7DE6" w:rsidRDefault="001037DB" w:rsidP="001037DB">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37.</w:t>
      </w:r>
      <w:r>
        <w:rPr>
          <w:rFonts w:ascii="Arial" w:hAnsi="Arial" w:cs="Arial"/>
          <w:color w:val="000000" w:themeColor="text1"/>
          <w:sz w:val="24"/>
          <w:szCs w:val="24"/>
        </w:rPr>
        <w:tab/>
      </w:r>
      <w:r w:rsidR="00372A91" w:rsidRPr="00CC7DE6">
        <w:rPr>
          <w:rFonts w:ascii="Arial" w:hAnsi="Arial" w:cs="Arial"/>
          <w:color w:val="000000" w:themeColor="text1"/>
          <w:sz w:val="24"/>
          <w:szCs w:val="24"/>
        </w:rPr>
        <w:t xml:space="preserve">For these reasons, I allow the appeal. </w:t>
      </w:r>
      <w:r>
        <w:rPr>
          <w:rFonts w:ascii="Arial" w:hAnsi="Arial" w:cs="Arial"/>
          <w:color w:val="000000" w:themeColor="text1"/>
          <w:sz w:val="24"/>
          <w:szCs w:val="24"/>
        </w:rPr>
        <w:t xml:space="preserve"> </w:t>
      </w:r>
      <w:r w:rsidR="00372A91" w:rsidRPr="00CC7DE6">
        <w:rPr>
          <w:rFonts w:ascii="Arial" w:hAnsi="Arial" w:cs="Arial"/>
          <w:color w:val="000000" w:themeColor="text1"/>
          <w:sz w:val="24"/>
          <w:szCs w:val="24"/>
        </w:rPr>
        <w:t xml:space="preserve">I set aside the decision of the appeal tribunal. </w:t>
      </w:r>
      <w:r>
        <w:rPr>
          <w:rFonts w:ascii="Arial" w:hAnsi="Arial" w:cs="Arial"/>
          <w:color w:val="000000" w:themeColor="text1"/>
          <w:sz w:val="24"/>
          <w:szCs w:val="24"/>
        </w:rPr>
        <w:t xml:space="preserve"> </w:t>
      </w:r>
      <w:r w:rsidR="00372A91" w:rsidRPr="00CC7DE6">
        <w:rPr>
          <w:rFonts w:ascii="Arial" w:hAnsi="Arial" w:cs="Arial"/>
          <w:color w:val="000000" w:themeColor="text1"/>
          <w:sz w:val="24"/>
          <w:szCs w:val="24"/>
        </w:rPr>
        <w:t>I refer the appeal to a newly constituted tribunal for determination.</w:t>
      </w:r>
    </w:p>
    <w:p w14:paraId="1100A3F5" w14:textId="77777777" w:rsidR="00372A91" w:rsidRPr="00CC7DE6" w:rsidRDefault="00372A91" w:rsidP="001B4A23">
      <w:pPr>
        <w:tabs>
          <w:tab w:val="left" w:pos="510"/>
          <w:tab w:val="left" w:pos="1077"/>
          <w:tab w:val="left" w:pos="1797"/>
        </w:tabs>
        <w:spacing w:after="0" w:line="240" w:lineRule="auto"/>
        <w:rPr>
          <w:rFonts w:ascii="Arial" w:hAnsi="Arial" w:cs="Arial"/>
          <w:color w:val="000000" w:themeColor="text1"/>
          <w:sz w:val="24"/>
          <w:szCs w:val="24"/>
        </w:rPr>
      </w:pPr>
    </w:p>
    <w:p w14:paraId="536BFF1D" w14:textId="1BE51587" w:rsidR="00C86DE3" w:rsidRPr="00CC7DE6" w:rsidRDefault="0096674C" w:rsidP="001B4A23">
      <w:pPr>
        <w:tabs>
          <w:tab w:val="left" w:pos="510"/>
          <w:tab w:val="left" w:pos="1077"/>
          <w:tab w:val="left" w:pos="1797"/>
        </w:tabs>
        <w:spacing w:after="0" w:line="240" w:lineRule="auto"/>
        <w:rPr>
          <w:rFonts w:ascii="Arial" w:hAnsi="Arial" w:cs="Arial"/>
          <w:i/>
          <w:iCs/>
          <w:color w:val="000000" w:themeColor="text1"/>
          <w:sz w:val="24"/>
          <w:szCs w:val="24"/>
        </w:rPr>
      </w:pPr>
      <w:r>
        <w:rPr>
          <w:rFonts w:ascii="Arial" w:hAnsi="Arial" w:cs="Arial"/>
          <w:i/>
          <w:iCs/>
          <w:color w:val="000000" w:themeColor="text1"/>
          <w:sz w:val="24"/>
          <w:szCs w:val="24"/>
        </w:rPr>
        <w:tab/>
      </w:r>
      <w:r w:rsidR="00C86DE3" w:rsidRPr="00CC7DE6">
        <w:rPr>
          <w:rFonts w:ascii="Arial" w:hAnsi="Arial" w:cs="Arial"/>
          <w:i/>
          <w:iCs/>
          <w:color w:val="000000" w:themeColor="text1"/>
          <w:sz w:val="24"/>
          <w:szCs w:val="24"/>
        </w:rPr>
        <w:t>Directions</w:t>
      </w:r>
    </w:p>
    <w:p w14:paraId="7126D6F2" w14:textId="77777777" w:rsidR="00C86DE3" w:rsidRPr="00CC7DE6" w:rsidRDefault="00C86DE3" w:rsidP="001B4A23">
      <w:pPr>
        <w:tabs>
          <w:tab w:val="left" w:pos="510"/>
          <w:tab w:val="left" w:pos="1077"/>
          <w:tab w:val="left" w:pos="1797"/>
        </w:tabs>
        <w:spacing w:after="0" w:line="240" w:lineRule="auto"/>
        <w:rPr>
          <w:rFonts w:ascii="Arial" w:hAnsi="Arial" w:cs="Arial"/>
          <w:color w:val="000000" w:themeColor="text1"/>
          <w:sz w:val="24"/>
          <w:szCs w:val="24"/>
        </w:rPr>
      </w:pPr>
    </w:p>
    <w:p w14:paraId="7A10F2D4" w14:textId="581C8324" w:rsidR="007839B1" w:rsidRPr="00CC7DE6" w:rsidRDefault="0096674C" w:rsidP="0096674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38.</w:t>
      </w:r>
      <w:r>
        <w:rPr>
          <w:rFonts w:ascii="Arial" w:hAnsi="Arial" w:cs="Arial"/>
          <w:color w:val="000000" w:themeColor="text1"/>
          <w:sz w:val="24"/>
          <w:szCs w:val="24"/>
        </w:rPr>
        <w:tab/>
      </w:r>
      <w:r w:rsidR="00372A91" w:rsidRPr="00CC7DE6">
        <w:rPr>
          <w:rFonts w:ascii="Arial" w:hAnsi="Arial" w:cs="Arial"/>
          <w:color w:val="000000" w:themeColor="text1"/>
          <w:sz w:val="24"/>
          <w:szCs w:val="24"/>
        </w:rPr>
        <w:t xml:space="preserve">I direct the new tribunal to determine </w:t>
      </w:r>
      <w:r w:rsidR="00C86DE3" w:rsidRPr="00CC7DE6">
        <w:rPr>
          <w:rFonts w:ascii="Arial" w:hAnsi="Arial" w:cs="Arial"/>
          <w:color w:val="000000" w:themeColor="text1"/>
          <w:sz w:val="24"/>
          <w:szCs w:val="24"/>
        </w:rPr>
        <w:t>all</w:t>
      </w:r>
      <w:r w:rsidR="00372A91" w:rsidRPr="00CC7DE6">
        <w:rPr>
          <w:rFonts w:ascii="Arial" w:hAnsi="Arial" w:cs="Arial"/>
          <w:color w:val="000000" w:themeColor="text1"/>
          <w:sz w:val="24"/>
          <w:szCs w:val="24"/>
        </w:rPr>
        <w:t xml:space="preserve"> question</w:t>
      </w:r>
      <w:r w:rsidR="00C86DE3" w:rsidRPr="00CC7DE6">
        <w:rPr>
          <w:rFonts w:ascii="Arial" w:hAnsi="Arial" w:cs="Arial"/>
          <w:color w:val="000000" w:themeColor="text1"/>
          <w:sz w:val="24"/>
          <w:szCs w:val="24"/>
        </w:rPr>
        <w:t>s</w:t>
      </w:r>
      <w:r w:rsidR="00372A91" w:rsidRPr="00CC7DE6">
        <w:rPr>
          <w:rFonts w:ascii="Arial" w:hAnsi="Arial" w:cs="Arial"/>
          <w:color w:val="000000" w:themeColor="text1"/>
          <w:sz w:val="24"/>
          <w:szCs w:val="24"/>
        </w:rPr>
        <w:t xml:space="preserve"> afresh</w:t>
      </w:r>
      <w:r w:rsidR="00951976" w:rsidRPr="00CC7DE6">
        <w:rPr>
          <w:rFonts w:ascii="Arial" w:hAnsi="Arial" w:cs="Arial"/>
          <w:color w:val="000000" w:themeColor="text1"/>
          <w:sz w:val="24"/>
          <w:szCs w:val="24"/>
        </w:rPr>
        <w:t>,</w:t>
      </w:r>
      <w:r w:rsidR="00372A91" w:rsidRPr="00CC7DE6">
        <w:rPr>
          <w:rFonts w:ascii="Arial" w:hAnsi="Arial" w:cs="Arial"/>
          <w:color w:val="000000" w:themeColor="text1"/>
          <w:sz w:val="24"/>
          <w:szCs w:val="24"/>
        </w:rPr>
        <w:t xml:space="preserve"> n</w:t>
      </w:r>
      <w:r w:rsidR="00C86DE3" w:rsidRPr="00CC7DE6">
        <w:rPr>
          <w:rFonts w:ascii="Arial" w:hAnsi="Arial" w:cs="Arial"/>
          <w:color w:val="000000" w:themeColor="text1"/>
          <w:sz w:val="24"/>
          <w:szCs w:val="24"/>
        </w:rPr>
        <w:t>amely th</w:t>
      </w:r>
      <w:r w:rsidR="00372A91" w:rsidRPr="00CC7DE6">
        <w:rPr>
          <w:rFonts w:ascii="Arial" w:hAnsi="Arial" w:cs="Arial"/>
          <w:color w:val="000000" w:themeColor="text1"/>
          <w:sz w:val="24"/>
          <w:szCs w:val="24"/>
        </w:rPr>
        <w:t>e question</w:t>
      </w:r>
      <w:r w:rsidR="00C86DE3" w:rsidRPr="00CC7DE6">
        <w:rPr>
          <w:rFonts w:ascii="Arial" w:hAnsi="Arial" w:cs="Arial"/>
          <w:color w:val="000000" w:themeColor="text1"/>
          <w:sz w:val="24"/>
          <w:szCs w:val="24"/>
        </w:rPr>
        <w:t>s</w:t>
      </w:r>
      <w:r w:rsidR="00372A91" w:rsidRPr="00CC7DE6">
        <w:rPr>
          <w:rFonts w:ascii="Arial" w:hAnsi="Arial" w:cs="Arial"/>
          <w:color w:val="000000" w:themeColor="text1"/>
          <w:sz w:val="24"/>
          <w:szCs w:val="24"/>
        </w:rPr>
        <w:t xml:space="preserve"> of whether the appellant has </w:t>
      </w:r>
      <w:r w:rsidR="00C86DE3" w:rsidRPr="00CC7DE6">
        <w:rPr>
          <w:rFonts w:ascii="Arial" w:hAnsi="Arial" w:cs="Arial"/>
          <w:color w:val="000000" w:themeColor="text1"/>
          <w:sz w:val="24"/>
          <w:szCs w:val="24"/>
        </w:rPr>
        <w:t xml:space="preserve">limited capability for work, and whether he has </w:t>
      </w:r>
      <w:r w:rsidR="00951976" w:rsidRPr="00CC7DE6">
        <w:rPr>
          <w:rFonts w:ascii="Arial" w:hAnsi="Arial" w:cs="Arial"/>
          <w:color w:val="000000" w:themeColor="text1"/>
          <w:sz w:val="24"/>
          <w:szCs w:val="24"/>
        </w:rPr>
        <w:t>limited capability for work and work-related activity.</w:t>
      </w:r>
    </w:p>
    <w:p w14:paraId="7740A506" w14:textId="77777777" w:rsidR="007839B1" w:rsidRPr="00CC7DE6" w:rsidRDefault="007839B1" w:rsidP="0096674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607DAAF" w14:textId="2FA97418" w:rsidR="007839B1" w:rsidRPr="00CC7DE6" w:rsidRDefault="0096674C" w:rsidP="0096674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39.</w:t>
      </w:r>
      <w:r>
        <w:rPr>
          <w:rFonts w:ascii="Arial" w:hAnsi="Arial" w:cs="Arial"/>
          <w:color w:val="000000" w:themeColor="text1"/>
          <w:sz w:val="24"/>
          <w:szCs w:val="24"/>
        </w:rPr>
        <w:tab/>
      </w:r>
      <w:r w:rsidR="00372A91" w:rsidRPr="00CC7DE6">
        <w:rPr>
          <w:rFonts w:ascii="Arial" w:hAnsi="Arial" w:cs="Arial"/>
          <w:color w:val="000000" w:themeColor="text1"/>
          <w:sz w:val="24"/>
          <w:szCs w:val="24"/>
        </w:rPr>
        <w:t>I direct that the Department shall provide the new tribunal with evidence of work-related activities available to the appellant in his local area.</w:t>
      </w:r>
    </w:p>
    <w:p w14:paraId="765D16A8" w14:textId="77777777" w:rsidR="007839B1" w:rsidRPr="00CC7DE6" w:rsidRDefault="007839B1" w:rsidP="0096674C">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C3B15E0" w14:textId="448B137D" w:rsidR="00372A91" w:rsidRPr="00CC7DE6" w:rsidRDefault="0096674C" w:rsidP="0096674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40.</w:t>
      </w:r>
      <w:r>
        <w:rPr>
          <w:rFonts w:ascii="Arial" w:hAnsi="Arial" w:cs="Arial"/>
          <w:color w:val="000000" w:themeColor="text1"/>
          <w:sz w:val="24"/>
          <w:szCs w:val="24"/>
        </w:rPr>
        <w:tab/>
      </w:r>
      <w:r w:rsidR="00372A91" w:rsidRPr="00CC7DE6">
        <w:rPr>
          <w:rFonts w:ascii="Arial" w:hAnsi="Arial" w:cs="Arial"/>
          <w:color w:val="000000" w:themeColor="text1"/>
          <w:sz w:val="24"/>
          <w:szCs w:val="24"/>
        </w:rPr>
        <w:t xml:space="preserve">The new tribunal </w:t>
      </w:r>
      <w:proofErr w:type="gramStart"/>
      <w:r w:rsidR="00951976" w:rsidRPr="00CC7DE6">
        <w:rPr>
          <w:rFonts w:ascii="Arial" w:hAnsi="Arial" w:cs="Arial"/>
          <w:color w:val="000000" w:themeColor="text1"/>
          <w:sz w:val="24"/>
          <w:szCs w:val="24"/>
        </w:rPr>
        <w:t xml:space="preserve">in particular </w:t>
      </w:r>
      <w:r w:rsidR="00372A91" w:rsidRPr="00CC7DE6">
        <w:rPr>
          <w:rFonts w:ascii="Arial" w:hAnsi="Arial" w:cs="Arial"/>
          <w:color w:val="000000" w:themeColor="text1"/>
          <w:sz w:val="24"/>
          <w:szCs w:val="24"/>
        </w:rPr>
        <w:t>shall</w:t>
      </w:r>
      <w:proofErr w:type="gramEnd"/>
      <w:r w:rsidR="00372A91" w:rsidRPr="00CC7DE6">
        <w:rPr>
          <w:rFonts w:ascii="Arial" w:hAnsi="Arial" w:cs="Arial"/>
          <w:color w:val="000000" w:themeColor="text1"/>
          <w:sz w:val="24"/>
          <w:szCs w:val="24"/>
        </w:rPr>
        <w:t xml:space="preserve"> have regard to whether the appellant’s drinking amounts to alcohol dependency – and</w:t>
      </w:r>
      <w:r w:rsidR="00763DB3" w:rsidRPr="00CC7DE6">
        <w:rPr>
          <w:rFonts w:ascii="Arial" w:hAnsi="Arial" w:cs="Arial"/>
          <w:color w:val="000000" w:themeColor="text1"/>
          <w:sz w:val="24"/>
          <w:szCs w:val="24"/>
        </w:rPr>
        <w:t xml:space="preserve"> is</w:t>
      </w:r>
      <w:r w:rsidR="00372A91" w:rsidRPr="00CC7DE6">
        <w:rPr>
          <w:rFonts w:ascii="Arial" w:hAnsi="Arial" w:cs="Arial"/>
          <w:color w:val="000000" w:themeColor="text1"/>
          <w:sz w:val="24"/>
          <w:szCs w:val="24"/>
        </w:rPr>
        <w:t xml:space="preserve"> therefore a relevant disablement</w:t>
      </w:r>
      <w:r w:rsidR="00763DB3" w:rsidRPr="00CC7DE6">
        <w:rPr>
          <w:rFonts w:ascii="Arial" w:hAnsi="Arial" w:cs="Arial"/>
          <w:color w:val="000000" w:themeColor="text1"/>
          <w:sz w:val="24"/>
          <w:szCs w:val="24"/>
        </w:rPr>
        <w:t xml:space="preserve"> for the purposes of paragraph 4 of Schedule 9</w:t>
      </w:r>
      <w:r w:rsidR="00372A91" w:rsidRPr="00CC7DE6">
        <w:rPr>
          <w:rFonts w:ascii="Arial" w:hAnsi="Arial" w:cs="Arial"/>
          <w:color w:val="000000" w:themeColor="text1"/>
          <w:sz w:val="24"/>
          <w:szCs w:val="24"/>
        </w:rPr>
        <w:t>.</w:t>
      </w:r>
    </w:p>
    <w:p w14:paraId="31C3337A" w14:textId="77777777" w:rsidR="00863417" w:rsidRPr="00CC7DE6" w:rsidRDefault="00863417" w:rsidP="00BE79AE">
      <w:pPr>
        <w:tabs>
          <w:tab w:val="left" w:pos="510"/>
          <w:tab w:val="left" w:pos="1077"/>
          <w:tab w:val="left" w:pos="1797"/>
        </w:tabs>
        <w:spacing w:after="0" w:line="240" w:lineRule="auto"/>
        <w:rPr>
          <w:rFonts w:ascii="Arial" w:hAnsi="Arial" w:cs="Arial"/>
          <w:color w:val="000000" w:themeColor="text1"/>
          <w:kern w:val="0"/>
          <w:sz w:val="24"/>
          <w:szCs w:val="24"/>
        </w:rPr>
      </w:pPr>
    </w:p>
    <w:p w14:paraId="19608E29" w14:textId="77777777" w:rsidR="00863417" w:rsidRPr="00CC7DE6" w:rsidRDefault="00863417" w:rsidP="00BE79AE">
      <w:pPr>
        <w:tabs>
          <w:tab w:val="left" w:pos="510"/>
          <w:tab w:val="left" w:pos="1077"/>
          <w:tab w:val="left" w:pos="1797"/>
        </w:tabs>
        <w:spacing w:after="0" w:line="240" w:lineRule="auto"/>
        <w:rPr>
          <w:rFonts w:ascii="Arial" w:hAnsi="Arial" w:cs="Arial"/>
          <w:color w:val="000000" w:themeColor="text1"/>
          <w:kern w:val="0"/>
          <w:sz w:val="24"/>
          <w:szCs w:val="24"/>
        </w:rPr>
      </w:pPr>
    </w:p>
    <w:p w14:paraId="653E7D75" w14:textId="76A8C4C7" w:rsidR="00863417" w:rsidRPr="0096674C" w:rsidRDefault="00863417" w:rsidP="0096674C">
      <w:pPr>
        <w:tabs>
          <w:tab w:val="left" w:pos="510"/>
          <w:tab w:val="left" w:pos="1077"/>
          <w:tab w:val="left" w:pos="1797"/>
        </w:tabs>
        <w:spacing w:after="0" w:line="240" w:lineRule="auto"/>
        <w:jc w:val="both"/>
        <w:rPr>
          <w:rFonts w:ascii="Arial" w:hAnsi="Arial" w:cs="Arial"/>
          <w:bCs/>
          <w:color w:val="000000" w:themeColor="text1"/>
          <w:sz w:val="24"/>
          <w:szCs w:val="24"/>
        </w:rPr>
      </w:pPr>
      <w:r w:rsidRPr="00CC7DE6">
        <w:rPr>
          <w:rFonts w:ascii="Arial" w:hAnsi="Arial" w:cs="Arial"/>
          <w:bCs/>
          <w:color w:val="000000" w:themeColor="text1"/>
          <w:sz w:val="24"/>
          <w:szCs w:val="24"/>
        </w:rPr>
        <w:t>(Signed):</w:t>
      </w:r>
      <w:r w:rsidR="0096674C">
        <w:rPr>
          <w:rFonts w:ascii="Arial" w:hAnsi="Arial" w:cs="Arial"/>
          <w:bCs/>
          <w:color w:val="000000" w:themeColor="text1"/>
          <w:sz w:val="24"/>
          <w:szCs w:val="24"/>
        </w:rPr>
        <w:t xml:space="preserve">  </w:t>
      </w:r>
      <w:r w:rsidRPr="0096674C">
        <w:rPr>
          <w:rFonts w:ascii="Arial" w:hAnsi="Arial" w:cs="Arial"/>
          <w:bCs/>
          <w:color w:val="000000" w:themeColor="text1"/>
          <w:sz w:val="24"/>
          <w:szCs w:val="24"/>
        </w:rPr>
        <w:t>O STOCKMAN</w:t>
      </w:r>
    </w:p>
    <w:p w14:paraId="50E56C5A" w14:textId="77777777" w:rsidR="0096674C" w:rsidRPr="0096674C" w:rsidRDefault="0096674C" w:rsidP="0096674C">
      <w:pPr>
        <w:tabs>
          <w:tab w:val="left" w:pos="510"/>
          <w:tab w:val="left" w:pos="1077"/>
          <w:tab w:val="left" w:pos="1797"/>
        </w:tabs>
        <w:spacing w:after="0" w:line="240" w:lineRule="auto"/>
        <w:jc w:val="both"/>
        <w:rPr>
          <w:rFonts w:ascii="Arial" w:hAnsi="Arial" w:cs="Arial"/>
          <w:bCs/>
          <w:color w:val="000000" w:themeColor="text1"/>
          <w:sz w:val="24"/>
          <w:szCs w:val="24"/>
        </w:rPr>
      </w:pPr>
    </w:p>
    <w:p w14:paraId="295FDAC8" w14:textId="3ECA1964" w:rsidR="00863417" w:rsidRPr="0096674C" w:rsidRDefault="00863417" w:rsidP="00BE79AE">
      <w:pPr>
        <w:tabs>
          <w:tab w:val="left" w:pos="510"/>
          <w:tab w:val="left" w:pos="1077"/>
          <w:tab w:val="left" w:pos="1701"/>
          <w:tab w:val="left" w:pos="1797"/>
        </w:tabs>
        <w:spacing w:after="0" w:line="240" w:lineRule="auto"/>
        <w:jc w:val="both"/>
        <w:rPr>
          <w:rFonts w:ascii="Arial" w:hAnsi="Arial" w:cs="Arial"/>
          <w:bCs/>
          <w:color w:val="000000" w:themeColor="text1"/>
          <w:sz w:val="24"/>
          <w:szCs w:val="24"/>
        </w:rPr>
      </w:pPr>
      <w:r w:rsidRPr="0096674C">
        <w:rPr>
          <w:rFonts w:ascii="Arial" w:hAnsi="Arial" w:cs="Arial"/>
          <w:bCs/>
          <w:color w:val="000000" w:themeColor="text1"/>
          <w:sz w:val="24"/>
          <w:szCs w:val="24"/>
        </w:rPr>
        <w:t xml:space="preserve">COMMISSIONER </w:t>
      </w:r>
    </w:p>
    <w:p w14:paraId="5D58E5FF" w14:textId="77777777" w:rsidR="00863417" w:rsidRDefault="00863417" w:rsidP="00BE79AE">
      <w:pPr>
        <w:tabs>
          <w:tab w:val="left" w:pos="510"/>
          <w:tab w:val="left" w:pos="1077"/>
          <w:tab w:val="left" w:pos="1797"/>
        </w:tabs>
        <w:spacing w:after="0" w:line="240" w:lineRule="auto"/>
        <w:jc w:val="both"/>
        <w:rPr>
          <w:rFonts w:ascii="Arial" w:hAnsi="Arial" w:cs="Arial"/>
          <w:bCs/>
          <w:color w:val="000000" w:themeColor="text1"/>
          <w:sz w:val="24"/>
          <w:szCs w:val="24"/>
        </w:rPr>
      </w:pPr>
    </w:p>
    <w:p w14:paraId="38A7C787" w14:textId="77777777" w:rsidR="0096674C" w:rsidRPr="00CC7DE6" w:rsidRDefault="0096674C" w:rsidP="00BE79AE">
      <w:pPr>
        <w:tabs>
          <w:tab w:val="left" w:pos="510"/>
          <w:tab w:val="left" w:pos="1077"/>
          <w:tab w:val="left" w:pos="1797"/>
        </w:tabs>
        <w:spacing w:after="0" w:line="240" w:lineRule="auto"/>
        <w:jc w:val="both"/>
        <w:rPr>
          <w:rFonts w:ascii="Arial" w:hAnsi="Arial" w:cs="Arial"/>
          <w:bCs/>
          <w:color w:val="000000" w:themeColor="text1"/>
          <w:sz w:val="24"/>
          <w:szCs w:val="24"/>
        </w:rPr>
      </w:pPr>
    </w:p>
    <w:p w14:paraId="367C6272" w14:textId="77777777" w:rsidR="00863417" w:rsidRPr="00CC7DE6" w:rsidRDefault="00863417" w:rsidP="00BE79AE">
      <w:pPr>
        <w:tabs>
          <w:tab w:val="left" w:pos="510"/>
          <w:tab w:val="left" w:pos="1077"/>
          <w:tab w:val="left" w:pos="1797"/>
        </w:tabs>
        <w:spacing w:after="0" w:line="240" w:lineRule="auto"/>
        <w:jc w:val="both"/>
        <w:rPr>
          <w:rFonts w:ascii="Arial" w:hAnsi="Arial" w:cs="Arial"/>
          <w:bCs/>
          <w:color w:val="000000" w:themeColor="text1"/>
          <w:sz w:val="24"/>
          <w:szCs w:val="24"/>
        </w:rPr>
      </w:pPr>
    </w:p>
    <w:p w14:paraId="5CD97E16" w14:textId="6B47EF90" w:rsidR="00CB0B0A" w:rsidRPr="00CC7DE6" w:rsidRDefault="003668B6" w:rsidP="00BE79AE">
      <w:pPr>
        <w:tabs>
          <w:tab w:val="left" w:pos="510"/>
          <w:tab w:val="left" w:pos="1077"/>
          <w:tab w:val="left" w:pos="1797"/>
        </w:tabs>
        <w:spacing w:after="0" w:line="240" w:lineRule="auto"/>
        <w:jc w:val="both"/>
        <w:rPr>
          <w:rFonts w:ascii="Arial" w:hAnsi="Arial" w:cs="Arial"/>
          <w:bCs/>
          <w:color w:val="000000" w:themeColor="text1"/>
          <w:sz w:val="24"/>
          <w:szCs w:val="24"/>
        </w:rPr>
      </w:pPr>
      <w:r w:rsidRPr="00CC7DE6">
        <w:rPr>
          <w:rFonts w:ascii="Arial" w:hAnsi="Arial" w:cs="Arial"/>
          <w:bCs/>
          <w:color w:val="000000" w:themeColor="text1"/>
          <w:sz w:val="24"/>
          <w:szCs w:val="24"/>
        </w:rPr>
        <w:t>28 October 2024</w:t>
      </w:r>
    </w:p>
    <w:sectPr w:rsidR="00CB0B0A" w:rsidRPr="00CC7DE6" w:rsidSect="00CC7DE6">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AC34" w14:textId="77777777" w:rsidR="0033730D" w:rsidRDefault="0033730D" w:rsidP="00863417">
      <w:pPr>
        <w:spacing w:after="0" w:line="240" w:lineRule="auto"/>
      </w:pPr>
      <w:r>
        <w:separator/>
      </w:r>
    </w:p>
  </w:endnote>
  <w:endnote w:type="continuationSeparator" w:id="0">
    <w:p w14:paraId="0D67E45B" w14:textId="77777777" w:rsidR="0033730D" w:rsidRDefault="0033730D" w:rsidP="0086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8544" w14:textId="200D5FA9" w:rsidR="00863417" w:rsidRPr="00911CAF" w:rsidRDefault="00863417" w:rsidP="00911CAF">
    <w:pPr>
      <w:pStyle w:val="Footer"/>
      <w:jc w:val="center"/>
      <w:rPr>
        <w:rFonts w:ascii="Arial" w:hAnsi="Arial" w:cs="Arial"/>
        <w:sz w:val="24"/>
        <w:szCs w:val="24"/>
      </w:rPr>
    </w:pPr>
    <w:r w:rsidRPr="00911CAF">
      <w:rPr>
        <w:rFonts w:ascii="Arial" w:hAnsi="Arial" w:cs="Arial"/>
        <w:sz w:val="24"/>
        <w:szCs w:val="24"/>
      </w:rPr>
      <w:fldChar w:fldCharType="begin"/>
    </w:r>
    <w:r w:rsidRPr="00911CAF">
      <w:rPr>
        <w:rFonts w:ascii="Arial" w:hAnsi="Arial" w:cs="Arial"/>
        <w:sz w:val="24"/>
        <w:szCs w:val="24"/>
      </w:rPr>
      <w:instrText xml:space="preserve"> PAGE   \* MERGEFORMAT </w:instrText>
    </w:r>
    <w:r w:rsidRPr="00911CAF">
      <w:rPr>
        <w:rFonts w:ascii="Arial" w:hAnsi="Arial" w:cs="Arial"/>
        <w:sz w:val="24"/>
        <w:szCs w:val="24"/>
      </w:rPr>
      <w:fldChar w:fldCharType="separate"/>
    </w:r>
    <w:r w:rsidRPr="00911CAF">
      <w:rPr>
        <w:rFonts w:ascii="Arial" w:hAnsi="Arial" w:cs="Arial"/>
        <w:noProof/>
        <w:sz w:val="24"/>
        <w:szCs w:val="24"/>
      </w:rPr>
      <w:t>2</w:t>
    </w:r>
    <w:r w:rsidRPr="00911CAF">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42BAA" w14:textId="77777777" w:rsidR="0033730D" w:rsidRDefault="0033730D" w:rsidP="00863417">
      <w:pPr>
        <w:spacing w:after="0" w:line="240" w:lineRule="auto"/>
      </w:pPr>
      <w:r>
        <w:separator/>
      </w:r>
    </w:p>
  </w:footnote>
  <w:footnote w:type="continuationSeparator" w:id="0">
    <w:p w14:paraId="4C14B37D" w14:textId="77777777" w:rsidR="0033730D" w:rsidRDefault="0033730D" w:rsidP="00863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835"/>
    <w:multiLevelType w:val="hybridMultilevel"/>
    <w:tmpl w:val="3FD2B04E"/>
    <w:lvl w:ilvl="0" w:tplc="9F62DC38">
      <w:start w:val="2"/>
      <w:numFmt w:val="decimal"/>
      <w:lvlText w:val="(%1)"/>
      <w:lvlJc w:val="left"/>
      <w:pPr>
        <w:ind w:left="118" w:hanging="346"/>
      </w:pPr>
      <w:rPr>
        <w:rFonts w:ascii="Calibri" w:eastAsia="Times New Roman" w:hAnsi="Calibri" w:cs="Calibri" w:hint="default"/>
        <w:w w:val="99"/>
        <w:sz w:val="22"/>
        <w:szCs w:val="22"/>
        <w:lang w:val="en-GB" w:eastAsia="en-GB" w:bidi="en-GB"/>
      </w:rPr>
    </w:lvl>
    <w:lvl w:ilvl="1" w:tplc="4D40209E">
      <w:start w:val="1"/>
      <w:numFmt w:val="lowerLetter"/>
      <w:lvlText w:val="(%2)"/>
      <w:lvlJc w:val="left"/>
      <w:pPr>
        <w:ind w:left="854" w:hanging="396"/>
      </w:pPr>
      <w:rPr>
        <w:rFonts w:ascii="Calibri" w:eastAsia="Times New Roman" w:hAnsi="Calibri" w:cs="Calibri" w:hint="default"/>
        <w:spacing w:val="-5"/>
        <w:w w:val="99"/>
        <w:sz w:val="22"/>
        <w:szCs w:val="22"/>
        <w:lang w:val="en-GB" w:eastAsia="en-GB" w:bidi="en-GB"/>
      </w:rPr>
    </w:lvl>
    <w:lvl w:ilvl="2" w:tplc="16B80346">
      <w:numFmt w:val="bullet"/>
      <w:lvlText w:val="•"/>
      <w:lvlJc w:val="left"/>
      <w:pPr>
        <w:ind w:left="1756" w:hanging="396"/>
      </w:pPr>
      <w:rPr>
        <w:lang w:val="en-GB" w:eastAsia="en-GB" w:bidi="en-GB"/>
      </w:rPr>
    </w:lvl>
    <w:lvl w:ilvl="3" w:tplc="F6DE4A42">
      <w:numFmt w:val="bullet"/>
      <w:lvlText w:val="•"/>
      <w:lvlJc w:val="left"/>
      <w:pPr>
        <w:ind w:left="2652" w:hanging="396"/>
      </w:pPr>
      <w:rPr>
        <w:lang w:val="en-GB" w:eastAsia="en-GB" w:bidi="en-GB"/>
      </w:rPr>
    </w:lvl>
    <w:lvl w:ilvl="4" w:tplc="2ECA4714">
      <w:numFmt w:val="bullet"/>
      <w:lvlText w:val="•"/>
      <w:lvlJc w:val="left"/>
      <w:pPr>
        <w:ind w:left="3548" w:hanging="396"/>
      </w:pPr>
      <w:rPr>
        <w:lang w:val="en-GB" w:eastAsia="en-GB" w:bidi="en-GB"/>
      </w:rPr>
    </w:lvl>
    <w:lvl w:ilvl="5" w:tplc="356A77CA">
      <w:numFmt w:val="bullet"/>
      <w:lvlText w:val="•"/>
      <w:lvlJc w:val="left"/>
      <w:pPr>
        <w:ind w:left="4445" w:hanging="396"/>
      </w:pPr>
      <w:rPr>
        <w:lang w:val="en-GB" w:eastAsia="en-GB" w:bidi="en-GB"/>
      </w:rPr>
    </w:lvl>
    <w:lvl w:ilvl="6" w:tplc="10AE3AFC">
      <w:numFmt w:val="bullet"/>
      <w:lvlText w:val="•"/>
      <w:lvlJc w:val="left"/>
      <w:pPr>
        <w:ind w:left="5341" w:hanging="396"/>
      </w:pPr>
      <w:rPr>
        <w:lang w:val="en-GB" w:eastAsia="en-GB" w:bidi="en-GB"/>
      </w:rPr>
    </w:lvl>
    <w:lvl w:ilvl="7" w:tplc="44606D58">
      <w:numFmt w:val="bullet"/>
      <w:lvlText w:val="•"/>
      <w:lvlJc w:val="left"/>
      <w:pPr>
        <w:ind w:left="6237" w:hanging="396"/>
      </w:pPr>
      <w:rPr>
        <w:lang w:val="en-GB" w:eastAsia="en-GB" w:bidi="en-GB"/>
      </w:rPr>
    </w:lvl>
    <w:lvl w:ilvl="8" w:tplc="3372F9B6">
      <w:numFmt w:val="bullet"/>
      <w:lvlText w:val="•"/>
      <w:lvlJc w:val="left"/>
      <w:pPr>
        <w:ind w:left="7133" w:hanging="396"/>
      </w:pPr>
      <w:rPr>
        <w:lang w:val="en-GB" w:eastAsia="en-GB" w:bidi="en-GB"/>
      </w:rPr>
    </w:lvl>
  </w:abstractNum>
  <w:abstractNum w:abstractNumId="1" w15:restartNumberingAfterBreak="0">
    <w:nsid w:val="048513DA"/>
    <w:multiLevelType w:val="hybridMultilevel"/>
    <w:tmpl w:val="B7ACB1D8"/>
    <w:lvl w:ilvl="0" w:tplc="CFC8AB86">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4E4659BA">
      <w:start w:val="1"/>
      <w:numFmt w:val="lowerRoman"/>
      <w:lvlText w:val="(%2)"/>
      <w:lvlJc w:val="left"/>
      <w:pPr>
        <w:ind w:left="119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2" w:tplc="32C2BC38">
      <w:start w:val="1"/>
      <w:numFmt w:val="lowerRoman"/>
      <w:lvlText w:val="%3"/>
      <w:lvlJc w:val="left"/>
      <w:pPr>
        <w:ind w:left="18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4740B188">
      <w:start w:val="1"/>
      <w:numFmt w:val="decimal"/>
      <w:lvlText w:val="%4"/>
      <w:lvlJc w:val="left"/>
      <w:pPr>
        <w:ind w:left="25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6B0238C">
      <w:start w:val="1"/>
      <w:numFmt w:val="lowerLetter"/>
      <w:lvlText w:val="%5"/>
      <w:lvlJc w:val="left"/>
      <w:pPr>
        <w:ind w:left="33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06DC62CE">
      <w:start w:val="1"/>
      <w:numFmt w:val="lowerRoman"/>
      <w:lvlText w:val="%6"/>
      <w:lvlJc w:val="left"/>
      <w:pPr>
        <w:ind w:left="40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F3E2BCDA">
      <w:start w:val="1"/>
      <w:numFmt w:val="decimal"/>
      <w:lvlText w:val="%7"/>
      <w:lvlJc w:val="left"/>
      <w:pPr>
        <w:ind w:left="47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7A963EC2">
      <w:start w:val="1"/>
      <w:numFmt w:val="lowerLetter"/>
      <w:lvlText w:val="%8"/>
      <w:lvlJc w:val="left"/>
      <w:pPr>
        <w:ind w:left="54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A5A5626">
      <w:start w:val="1"/>
      <w:numFmt w:val="lowerRoman"/>
      <w:lvlText w:val="%9"/>
      <w:lvlJc w:val="left"/>
      <w:pPr>
        <w:ind w:left="61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0C111C35"/>
    <w:multiLevelType w:val="hybridMultilevel"/>
    <w:tmpl w:val="78F01940"/>
    <w:lvl w:ilvl="0" w:tplc="CFD4A39C">
      <w:start w:val="35"/>
      <w:numFmt w:val="decimal"/>
      <w:lvlText w:val="%1."/>
      <w:lvlJc w:val="left"/>
      <w:pPr>
        <w:ind w:left="118" w:hanging="301"/>
      </w:pPr>
      <w:rPr>
        <w:rFonts w:ascii="Times New Roman" w:eastAsia="Times New Roman" w:hAnsi="Times New Roman" w:cs="Times New Roman" w:hint="default"/>
        <w:b/>
        <w:bCs/>
        <w:w w:val="100"/>
        <w:sz w:val="22"/>
        <w:szCs w:val="22"/>
        <w:lang w:val="en-GB" w:eastAsia="en-GB" w:bidi="en-GB"/>
      </w:rPr>
    </w:lvl>
    <w:lvl w:ilvl="1" w:tplc="33B4DDB2">
      <w:start w:val="1"/>
      <w:numFmt w:val="lowerLetter"/>
      <w:lvlText w:val="(%2)"/>
      <w:lvlJc w:val="left"/>
      <w:pPr>
        <w:ind w:left="854" w:hanging="396"/>
      </w:pPr>
      <w:rPr>
        <w:rFonts w:ascii="Calibri" w:eastAsia="Times New Roman" w:hAnsi="Calibri" w:cs="Calibri" w:hint="default"/>
        <w:spacing w:val="-2"/>
        <w:w w:val="99"/>
        <w:sz w:val="22"/>
        <w:szCs w:val="22"/>
        <w:lang w:val="en-GB" w:eastAsia="en-GB" w:bidi="en-GB"/>
      </w:rPr>
    </w:lvl>
    <w:lvl w:ilvl="2" w:tplc="F3A25168">
      <w:numFmt w:val="bullet"/>
      <w:lvlText w:val="•"/>
      <w:lvlJc w:val="left"/>
      <w:pPr>
        <w:ind w:left="1756" w:hanging="396"/>
      </w:pPr>
      <w:rPr>
        <w:lang w:val="en-GB" w:eastAsia="en-GB" w:bidi="en-GB"/>
      </w:rPr>
    </w:lvl>
    <w:lvl w:ilvl="3" w:tplc="92A89AF0">
      <w:numFmt w:val="bullet"/>
      <w:lvlText w:val="•"/>
      <w:lvlJc w:val="left"/>
      <w:pPr>
        <w:ind w:left="2652" w:hanging="396"/>
      </w:pPr>
      <w:rPr>
        <w:lang w:val="en-GB" w:eastAsia="en-GB" w:bidi="en-GB"/>
      </w:rPr>
    </w:lvl>
    <w:lvl w:ilvl="4" w:tplc="7910C734">
      <w:numFmt w:val="bullet"/>
      <w:lvlText w:val="•"/>
      <w:lvlJc w:val="left"/>
      <w:pPr>
        <w:ind w:left="3548" w:hanging="396"/>
      </w:pPr>
      <w:rPr>
        <w:lang w:val="en-GB" w:eastAsia="en-GB" w:bidi="en-GB"/>
      </w:rPr>
    </w:lvl>
    <w:lvl w:ilvl="5" w:tplc="D0A8449A">
      <w:numFmt w:val="bullet"/>
      <w:lvlText w:val="•"/>
      <w:lvlJc w:val="left"/>
      <w:pPr>
        <w:ind w:left="4445" w:hanging="396"/>
      </w:pPr>
      <w:rPr>
        <w:lang w:val="en-GB" w:eastAsia="en-GB" w:bidi="en-GB"/>
      </w:rPr>
    </w:lvl>
    <w:lvl w:ilvl="6" w:tplc="568CC0E0">
      <w:numFmt w:val="bullet"/>
      <w:lvlText w:val="•"/>
      <w:lvlJc w:val="left"/>
      <w:pPr>
        <w:ind w:left="5341" w:hanging="396"/>
      </w:pPr>
      <w:rPr>
        <w:lang w:val="en-GB" w:eastAsia="en-GB" w:bidi="en-GB"/>
      </w:rPr>
    </w:lvl>
    <w:lvl w:ilvl="7" w:tplc="CFFA69B2">
      <w:numFmt w:val="bullet"/>
      <w:lvlText w:val="•"/>
      <w:lvlJc w:val="left"/>
      <w:pPr>
        <w:ind w:left="6237" w:hanging="396"/>
      </w:pPr>
      <w:rPr>
        <w:lang w:val="en-GB" w:eastAsia="en-GB" w:bidi="en-GB"/>
      </w:rPr>
    </w:lvl>
    <w:lvl w:ilvl="8" w:tplc="69BA8F92">
      <w:numFmt w:val="bullet"/>
      <w:lvlText w:val="•"/>
      <w:lvlJc w:val="left"/>
      <w:pPr>
        <w:ind w:left="7133" w:hanging="396"/>
      </w:pPr>
      <w:rPr>
        <w:lang w:val="en-GB" w:eastAsia="en-GB" w:bidi="en-GB"/>
      </w:rPr>
    </w:lvl>
  </w:abstractNum>
  <w:abstractNum w:abstractNumId="3" w15:restartNumberingAfterBreak="0">
    <w:nsid w:val="0E894388"/>
    <w:multiLevelType w:val="hybridMultilevel"/>
    <w:tmpl w:val="D79AC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D028E"/>
    <w:multiLevelType w:val="hybridMultilevel"/>
    <w:tmpl w:val="203C1B22"/>
    <w:lvl w:ilvl="0" w:tplc="A07E6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06ABF"/>
    <w:multiLevelType w:val="hybridMultilevel"/>
    <w:tmpl w:val="E2380C86"/>
    <w:lvl w:ilvl="0" w:tplc="CC2C3FAC">
      <w:start w:val="5"/>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F992DEAE">
      <w:start w:val="1"/>
      <w:numFmt w:val="lowerLetter"/>
      <w:lvlText w:val="%2"/>
      <w:lvlJc w:val="left"/>
      <w:pPr>
        <w:ind w:left="12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3E04A828">
      <w:start w:val="1"/>
      <w:numFmt w:val="lowerRoman"/>
      <w:lvlText w:val="%3"/>
      <w:lvlJc w:val="left"/>
      <w:pPr>
        <w:ind w:left="19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B5B2EBF2">
      <w:start w:val="1"/>
      <w:numFmt w:val="decimal"/>
      <w:lvlText w:val="%4"/>
      <w:lvlJc w:val="left"/>
      <w:pPr>
        <w:ind w:left="26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30A34BC">
      <w:start w:val="1"/>
      <w:numFmt w:val="lowerLetter"/>
      <w:lvlText w:val="%5"/>
      <w:lvlJc w:val="left"/>
      <w:pPr>
        <w:ind w:left="34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7B2015A4">
      <w:start w:val="1"/>
      <w:numFmt w:val="lowerRoman"/>
      <w:lvlText w:val="%6"/>
      <w:lvlJc w:val="left"/>
      <w:pPr>
        <w:ind w:left="41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A252A134">
      <w:start w:val="1"/>
      <w:numFmt w:val="decimal"/>
      <w:lvlText w:val="%7"/>
      <w:lvlJc w:val="left"/>
      <w:pPr>
        <w:ind w:left="48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E52A1E46">
      <w:start w:val="1"/>
      <w:numFmt w:val="lowerLetter"/>
      <w:lvlText w:val="%8"/>
      <w:lvlJc w:val="left"/>
      <w:pPr>
        <w:ind w:left="55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B1C6AD2E">
      <w:start w:val="1"/>
      <w:numFmt w:val="lowerRoman"/>
      <w:lvlText w:val="%9"/>
      <w:lvlJc w:val="left"/>
      <w:pPr>
        <w:ind w:left="62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444313C8"/>
    <w:multiLevelType w:val="hybridMultilevel"/>
    <w:tmpl w:val="0A12D7A4"/>
    <w:lvl w:ilvl="0" w:tplc="2B4091FA">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9CCCD024">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95FC74A8">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CAB89660">
      <w:start w:val="1"/>
      <w:numFmt w:val="decimal"/>
      <w:lvlText w:val="%4"/>
      <w:lvlJc w:val="left"/>
      <w:pPr>
        <w:ind w:left="28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4F6AECB8">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DD60705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92E7A9A">
      <w:start w:val="1"/>
      <w:numFmt w:val="decimal"/>
      <w:lvlText w:val="%7"/>
      <w:lvlJc w:val="left"/>
      <w:pPr>
        <w:ind w:left="50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0114BACE">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A929CAC">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491730FA"/>
    <w:multiLevelType w:val="hybridMultilevel"/>
    <w:tmpl w:val="3496E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97F26"/>
    <w:multiLevelType w:val="hybridMultilevel"/>
    <w:tmpl w:val="252A1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D71ED"/>
    <w:multiLevelType w:val="hybridMultilevel"/>
    <w:tmpl w:val="42005E1E"/>
    <w:lvl w:ilvl="0" w:tplc="08666F24">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A2CE61BE">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2C8A1312">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E3CCCDBA">
      <w:start w:val="1"/>
      <w:numFmt w:val="decimal"/>
      <w:lvlText w:val="%4"/>
      <w:lvlJc w:val="left"/>
      <w:pPr>
        <w:ind w:left="28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1228E8BA">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B704C2A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4B88A0E">
      <w:start w:val="1"/>
      <w:numFmt w:val="decimal"/>
      <w:lvlText w:val="%7"/>
      <w:lvlJc w:val="left"/>
      <w:pPr>
        <w:ind w:left="50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9B56BC06">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ABCAAC6">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0" w15:restartNumberingAfterBreak="0">
    <w:nsid w:val="72EB6B62"/>
    <w:multiLevelType w:val="hybridMultilevel"/>
    <w:tmpl w:val="9C10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FF74CA"/>
    <w:multiLevelType w:val="hybridMultilevel"/>
    <w:tmpl w:val="7B7EF186"/>
    <w:lvl w:ilvl="0" w:tplc="4138737A">
      <w:start w:val="2"/>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1CD8E762">
      <w:start w:val="1"/>
      <w:numFmt w:val="lowerLetter"/>
      <w:lvlText w:val="%2"/>
      <w:lvlJc w:val="left"/>
      <w:pPr>
        <w:ind w:left="12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33EA121A">
      <w:start w:val="1"/>
      <w:numFmt w:val="lowerRoman"/>
      <w:lvlText w:val="%3"/>
      <w:lvlJc w:val="left"/>
      <w:pPr>
        <w:ind w:left="19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CF42B3AA">
      <w:start w:val="1"/>
      <w:numFmt w:val="decimal"/>
      <w:lvlText w:val="%4"/>
      <w:lvlJc w:val="left"/>
      <w:pPr>
        <w:ind w:left="26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F760E332">
      <w:start w:val="1"/>
      <w:numFmt w:val="lowerLetter"/>
      <w:lvlText w:val="%5"/>
      <w:lvlJc w:val="left"/>
      <w:pPr>
        <w:ind w:left="34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9E1414E6">
      <w:start w:val="1"/>
      <w:numFmt w:val="lowerRoman"/>
      <w:lvlText w:val="%6"/>
      <w:lvlJc w:val="left"/>
      <w:pPr>
        <w:ind w:left="41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23AE1F56">
      <w:start w:val="1"/>
      <w:numFmt w:val="decimal"/>
      <w:lvlText w:val="%7"/>
      <w:lvlJc w:val="left"/>
      <w:pPr>
        <w:ind w:left="48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8214C2B8">
      <w:start w:val="1"/>
      <w:numFmt w:val="lowerLetter"/>
      <w:lvlText w:val="%8"/>
      <w:lvlJc w:val="left"/>
      <w:pPr>
        <w:ind w:left="55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93E8B96A">
      <w:start w:val="1"/>
      <w:numFmt w:val="lowerRoman"/>
      <w:lvlText w:val="%9"/>
      <w:lvlJc w:val="left"/>
      <w:pPr>
        <w:ind w:left="62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2" w15:restartNumberingAfterBreak="0">
    <w:nsid w:val="739B5927"/>
    <w:multiLevelType w:val="hybridMultilevel"/>
    <w:tmpl w:val="ED185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83996">
    <w:abstractNumId w:val="2"/>
    <w:lvlOverride w:ilvl="0">
      <w:startOverride w:val="35"/>
    </w:lvlOverride>
    <w:lvlOverride w:ilvl="1">
      <w:startOverride w:val="1"/>
    </w:lvlOverride>
    <w:lvlOverride w:ilvl="2"/>
    <w:lvlOverride w:ilvl="3"/>
    <w:lvlOverride w:ilvl="4"/>
    <w:lvlOverride w:ilvl="5"/>
    <w:lvlOverride w:ilvl="6"/>
    <w:lvlOverride w:ilvl="7"/>
    <w:lvlOverride w:ilvl="8"/>
  </w:num>
  <w:num w:numId="2" w16cid:durableId="974067626">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411900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9573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877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317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22812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05628">
    <w:abstractNumId w:val="4"/>
  </w:num>
  <w:num w:numId="9" w16cid:durableId="174343235">
    <w:abstractNumId w:val="8"/>
  </w:num>
  <w:num w:numId="10" w16cid:durableId="270625910">
    <w:abstractNumId w:val="10"/>
  </w:num>
  <w:num w:numId="11" w16cid:durableId="1094520726">
    <w:abstractNumId w:val="3"/>
  </w:num>
  <w:num w:numId="12" w16cid:durableId="842741559">
    <w:abstractNumId w:val="7"/>
  </w:num>
  <w:num w:numId="13" w16cid:durableId="1228565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5"/>
    <w:rsid w:val="00012828"/>
    <w:rsid w:val="00021EFB"/>
    <w:rsid w:val="00022A7B"/>
    <w:rsid w:val="00061EF9"/>
    <w:rsid w:val="0008411F"/>
    <w:rsid w:val="0009475F"/>
    <w:rsid w:val="000A2FD4"/>
    <w:rsid w:val="000A6C65"/>
    <w:rsid w:val="000C3BE1"/>
    <w:rsid w:val="001037DB"/>
    <w:rsid w:val="00121F09"/>
    <w:rsid w:val="00156DDE"/>
    <w:rsid w:val="00182513"/>
    <w:rsid w:val="001B34A1"/>
    <w:rsid w:val="001B4A23"/>
    <w:rsid w:val="001B6846"/>
    <w:rsid w:val="001F31DE"/>
    <w:rsid w:val="0020334F"/>
    <w:rsid w:val="0021772C"/>
    <w:rsid w:val="00235CF8"/>
    <w:rsid w:val="00273940"/>
    <w:rsid w:val="00286DA2"/>
    <w:rsid w:val="0033730D"/>
    <w:rsid w:val="00345BF1"/>
    <w:rsid w:val="00350152"/>
    <w:rsid w:val="0036597E"/>
    <w:rsid w:val="00365D76"/>
    <w:rsid w:val="003668B6"/>
    <w:rsid w:val="00372A91"/>
    <w:rsid w:val="00385D58"/>
    <w:rsid w:val="0039686B"/>
    <w:rsid w:val="00396B1B"/>
    <w:rsid w:val="003D232F"/>
    <w:rsid w:val="00412022"/>
    <w:rsid w:val="0048613A"/>
    <w:rsid w:val="00494D67"/>
    <w:rsid w:val="00505EC8"/>
    <w:rsid w:val="0057412A"/>
    <w:rsid w:val="0058021B"/>
    <w:rsid w:val="005B33AE"/>
    <w:rsid w:val="0060676F"/>
    <w:rsid w:val="0067294D"/>
    <w:rsid w:val="00674E2F"/>
    <w:rsid w:val="0068284B"/>
    <w:rsid w:val="006B57BE"/>
    <w:rsid w:val="006B75D0"/>
    <w:rsid w:val="006D1908"/>
    <w:rsid w:val="006D7279"/>
    <w:rsid w:val="006E0459"/>
    <w:rsid w:val="00763DB3"/>
    <w:rsid w:val="007839B1"/>
    <w:rsid w:val="00792ECB"/>
    <w:rsid w:val="007B5544"/>
    <w:rsid w:val="007B6629"/>
    <w:rsid w:val="007C343C"/>
    <w:rsid w:val="007D2B6D"/>
    <w:rsid w:val="007D318C"/>
    <w:rsid w:val="007E6D5C"/>
    <w:rsid w:val="008258DA"/>
    <w:rsid w:val="00832F22"/>
    <w:rsid w:val="008550B4"/>
    <w:rsid w:val="00863417"/>
    <w:rsid w:val="00870579"/>
    <w:rsid w:val="00886A82"/>
    <w:rsid w:val="008A2713"/>
    <w:rsid w:val="008C5378"/>
    <w:rsid w:val="00911CAF"/>
    <w:rsid w:val="00917D62"/>
    <w:rsid w:val="00951976"/>
    <w:rsid w:val="009559A6"/>
    <w:rsid w:val="0096674C"/>
    <w:rsid w:val="00971D9E"/>
    <w:rsid w:val="00A26EC2"/>
    <w:rsid w:val="00A94B13"/>
    <w:rsid w:val="00AB5A1C"/>
    <w:rsid w:val="00B460C0"/>
    <w:rsid w:val="00B83499"/>
    <w:rsid w:val="00B93124"/>
    <w:rsid w:val="00BE3314"/>
    <w:rsid w:val="00BE79AE"/>
    <w:rsid w:val="00C259D7"/>
    <w:rsid w:val="00C40C97"/>
    <w:rsid w:val="00C43A69"/>
    <w:rsid w:val="00C50F40"/>
    <w:rsid w:val="00C65255"/>
    <w:rsid w:val="00C86DE3"/>
    <w:rsid w:val="00C942C9"/>
    <w:rsid w:val="00CB0B0A"/>
    <w:rsid w:val="00CC7DE6"/>
    <w:rsid w:val="00D917BD"/>
    <w:rsid w:val="00DF3C36"/>
    <w:rsid w:val="00E11697"/>
    <w:rsid w:val="00E1658E"/>
    <w:rsid w:val="00E32EF3"/>
    <w:rsid w:val="00E72904"/>
    <w:rsid w:val="00E86670"/>
    <w:rsid w:val="00EB2B57"/>
    <w:rsid w:val="00ED129D"/>
    <w:rsid w:val="00EE7462"/>
    <w:rsid w:val="00EF40A0"/>
    <w:rsid w:val="00FC5D6C"/>
    <w:rsid w:val="00FD53DC"/>
    <w:rsid w:val="00FD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8FA8"/>
  <w15:chartTrackingRefBased/>
  <w15:docId w15:val="{9A656D42-ED77-4524-934A-8381E99B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2A7B"/>
    <w:pPr>
      <w:spacing w:line="256" w:lineRule="auto"/>
      <w:ind w:left="720"/>
      <w:contextualSpacing/>
    </w:pPr>
    <w:rPr>
      <w:kern w:val="0"/>
    </w:rPr>
  </w:style>
  <w:style w:type="paragraph" w:styleId="Header">
    <w:name w:val="header"/>
    <w:basedOn w:val="Normal"/>
    <w:link w:val="HeaderChar"/>
    <w:uiPriority w:val="99"/>
    <w:unhideWhenUsed/>
    <w:rsid w:val="00863417"/>
    <w:pPr>
      <w:tabs>
        <w:tab w:val="center" w:pos="4513"/>
        <w:tab w:val="right" w:pos="9026"/>
      </w:tabs>
    </w:pPr>
  </w:style>
  <w:style w:type="character" w:customStyle="1" w:styleId="HeaderChar">
    <w:name w:val="Header Char"/>
    <w:link w:val="Header"/>
    <w:uiPriority w:val="99"/>
    <w:rsid w:val="00863417"/>
    <w:rPr>
      <w:kern w:val="2"/>
      <w:sz w:val="22"/>
      <w:szCs w:val="22"/>
      <w:lang w:eastAsia="en-US"/>
    </w:rPr>
  </w:style>
  <w:style w:type="paragraph" w:styleId="Footer">
    <w:name w:val="footer"/>
    <w:basedOn w:val="Normal"/>
    <w:link w:val="FooterChar"/>
    <w:uiPriority w:val="99"/>
    <w:unhideWhenUsed/>
    <w:rsid w:val="00863417"/>
    <w:pPr>
      <w:tabs>
        <w:tab w:val="center" w:pos="4513"/>
        <w:tab w:val="right" w:pos="9026"/>
      </w:tabs>
    </w:pPr>
  </w:style>
  <w:style w:type="character" w:customStyle="1" w:styleId="FooterChar">
    <w:name w:val="Footer Char"/>
    <w:link w:val="Footer"/>
    <w:uiPriority w:val="99"/>
    <w:rsid w:val="00863417"/>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289573">
      <w:bodyDiv w:val="1"/>
      <w:marLeft w:val="0"/>
      <w:marRight w:val="0"/>
      <w:marTop w:val="0"/>
      <w:marBottom w:val="0"/>
      <w:divBdr>
        <w:top w:val="none" w:sz="0" w:space="0" w:color="auto"/>
        <w:left w:val="none" w:sz="0" w:space="0" w:color="auto"/>
        <w:bottom w:val="none" w:sz="0" w:space="0" w:color="auto"/>
        <w:right w:val="none" w:sz="0" w:space="0" w:color="auto"/>
      </w:divBdr>
    </w:div>
    <w:div w:id="1372222120">
      <w:bodyDiv w:val="1"/>
      <w:marLeft w:val="0"/>
      <w:marRight w:val="0"/>
      <w:marTop w:val="0"/>
      <w:marBottom w:val="0"/>
      <w:divBdr>
        <w:top w:val="none" w:sz="0" w:space="0" w:color="auto"/>
        <w:left w:val="none" w:sz="0" w:space="0" w:color="auto"/>
        <w:bottom w:val="none" w:sz="0" w:space="0" w:color="auto"/>
        <w:right w:val="none" w:sz="0" w:space="0" w:color="auto"/>
      </w:divBdr>
    </w:div>
    <w:div w:id="21364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UC%20capability%20for%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UC capability for work template</Template>
  <TotalTime>0</TotalTime>
  <Pages>1</Pages>
  <Words>3552</Words>
  <Characters>17763</Characters>
  <Application>Microsoft Office Word</Application>
  <DocSecurity>0</DocSecurity>
  <Lines>444</Lines>
  <Paragraphs>109</Paragraphs>
  <ScaleCrop>false</ScaleCrop>
  <HeadingPairs>
    <vt:vector size="2" baseType="variant">
      <vt:variant>
        <vt:lpstr>Title</vt:lpstr>
      </vt:variant>
      <vt:variant>
        <vt:i4>1</vt:i4>
      </vt:variant>
    </vt:vector>
  </HeadingPairs>
  <TitlesOfParts>
    <vt:vector size="1" baseType="lpstr">
      <vt:lpstr>C4/23-24(UC)</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C4/23-24(UC)</dc:title>
  <dc:subject/>
  <dc:creator>Bowman, Marie</dc:creator>
  <cp:keywords/>
  <dc:description/>
  <cp:lastModifiedBy>Toner, Lisa</cp:lastModifiedBy>
  <cp:revision>2</cp:revision>
  <cp:lastPrinted>2024-10-25T11:09:00Z</cp:lastPrinted>
  <dcterms:created xsi:type="dcterms:W3CDTF">2024-12-24T09:44:00Z</dcterms:created>
  <dcterms:modified xsi:type="dcterms:W3CDTF">2024-12-24T09:44:00Z</dcterms:modified>
</cp:coreProperties>
</file>