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034F" w14:textId="77777777" w:rsidR="00C228B9" w:rsidRPr="00A319C2" w:rsidRDefault="00D256DA" w:rsidP="007E3119">
      <w:pPr>
        <w:spacing w:after="0" w:line="240" w:lineRule="auto"/>
        <w:jc w:val="right"/>
        <w:rPr>
          <w:rFonts w:ascii="Arial" w:hAnsi="Arial" w:cs="Arial"/>
          <w:color w:val="000000" w:themeColor="text1"/>
          <w:sz w:val="24"/>
          <w:szCs w:val="24"/>
          <w:lang w:val="en-US"/>
        </w:rPr>
      </w:pPr>
      <w:r w:rsidRPr="00A319C2">
        <w:rPr>
          <w:rFonts w:ascii="Arial" w:hAnsi="Arial" w:cs="Arial"/>
          <w:color w:val="000000" w:themeColor="text1"/>
          <w:sz w:val="24"/>
          <w:szCs w:val="24"/>
          <w:lang w:val="en-US"/>
        </w:rPr>
        <w:t xml:space="preserve">Department for Communities-v-OS (UC) [2022] </w:t>
      </w:r>
      <w:proofErr w:type="spellStart"/>
      <w:r w:rsidRPr="00A319C2">
        <w:rPr>
          <w:rFonts w:ascii="Arial" w:hAnsi="Arial" w:cs="Arial"/>
          <w:color w:val="000000" w:themeColor="text1"/>
          <w:sz w:val="24"/>
          <w:szCs w:val="24"/>
          <w:lang w:val="en-US"/>
        </w:rPr>
        <w:t>NICom</w:t>
      </w:r>
      <w:proofErr w:type="spellEnd"/>
      <w:r w:rsidRPr="00A319C2">
        <w:rPr>
          <w:rFonts w:ascii="Arial" w:hAnsi="Arial" w:cs="Arial"/>
          <w:color w:val="000000" w:themeColor="text1"/>
          <w:sz w:val="24"/>
          <w:szCs w:val="24"/>
          <w:lang w:val="en-US"/>
        </w:rPr>
        <w:t xml:space="preserve"> 29</w:t>
      </w:r>
    </w:p>
    <w:p w14:paraId="00976FA7" w14:textId="77777777" w:rsidR="00D256DA" w:rsidRPr="00A319C2" w:rsidRDefault="00D256DA" w:rsidP="007E3119">
      <w:pPr>
        <w:spacing w:after="0" w:line="240" w:lineRule="auto"/>
        <w:jc w:val="right"/>
        <w:rPr>
          <w:rFonts w:ascii="Arial" w:hAnsi="Arial" w:cs="Arial"/>
          <w:color w:val="000000" w:themeColor="text1"/>
          <w:sz w:val="24"/>
          <w:szCs w:val="24"/>
          <w:lang w:val="en-US"/>
        </w:rPr>
      </w:pPr>
    </w:p>
    <w:p w14:paraId="4CA2F744" w14:textId="2B692B67" w:rsidR="00D256DA" w:rsidRPr="00A319C2" w:rsidRDefault="00D256DA" w:rsidP="007E3119">
      <w:pPr>
        <w:spacing w:after="0" w:line="240" w:lineRule="auto"/>
        <w:jc w:val="right"/>
        <w:rPr>
          <w:rFonts w:ascii="Arial" w:hAnsi="Arial" w:cs="Arial"/>
          <w:color w:val="000000" w:themeColor="text1"/>
          <w:sz w:val="24"/>
          <w:szCs w:val="24"/>
          <w:lang w:val="en-US"/>
        </w:rPr>
      </w:pPr>
      <w:r w:rsidRPr="00A319C2">
        <w:rPr>
          <w:rFonts w:ascii="Arial" w:hAnsi="Arial" w:cs="Arial"/>
          <w:color w:val="000000" w:themeColor="text1"/>
          <w:sz w:val="24"/>
          <w:szCs w:val="24"/>
          <w:lang w:val="en-US"/>
        </w:rPr>
        <w:t xml:space="preserve">Decision No: </w:t>
      </w:r>
      <w:r w:rsidR="00A319C2" w:rsidRPr="00A319C2">
        <w:rPr>
          <w:rFonts w:ascii="Arial" w:hAnsi="Arial" w:cs="Arial"/>
          <w:color w:val="000000" w:themeColor="text1"/>
          <w:sz w:val="24"/>
          <w:szCs w:val="24"/>
          <w:lang w:val="en-US"/>
        </w:rPr>
        <w:t xml:space="preserve"> </w:t>
      </w:r>
      <w:r w:rsidRPr="00A319C2">
        <w:rPr>
          <w:rFonts w:ascii="Arial" w:hAnsi="Arial" w:cs="Arial"/>
          <w:color w:val="000000" w:themeColor="text1"/>
          <w:sz w:val="24"/>
          <w:szCs w:val="24"/>
          <w:lang w:val="en-US"/>
        </w:rPr>
        <w:t>C2/21-22(UC)</w:t>
      </w:r>
    </w:p>
    <w:p w14:paraId="051BEB38" w14:textId="3F762926" w:rsidR="00D256DA" w:rsidRPr="00A319C2" w:rsidRDefault="00D256DA" w:rsidP="007E3119">
      <w:pPr>
        <w:spacing w:after="0" w:line="240" w:lineRule="auto"/>
        <w:rPr>
          <w:rFonts w:ascii="Arial" w:hAnsi="Arial" w:cs="Arial"/>
          <w:color w:val="000000" w:themeColor="text1"/>
          <w:sz w:val="24"/>
          <w:szCs w:val="24"/>
          <w:lang w:val="en-US"/>
        </w:rPr>
      </w:pPr>
    </w:p>
    <w:p w14:paraId="3315784A" w14:textId="59B46E6C" w:rsidR="00A319C2" w:rsidRPr="00A319C2" w:rsidRDefault="00A319C2" w:rsidP="007E3119">
      <w:pPr>
        <w:spacing w:after="0" w:line="240" w:lineRule="auto"/>
        <w:rPr>
          <w:rFonts w:ascii="Arial" w:hAnsi="Arial" w:cs="Arial"/>
          <w:color w:val="000000" w:themeColor="text1"/>
          <w:sz w:val="24"/>
          <w:szCs w:val="24"/>
          <w:lang w:val="en-US"/>
        </w:rPr>
      </w:pPr>
    </w:p>
    <w:p w14:paraId="79FD0045" w14:textId="77777777" w:rsidR="00A319C2" w:rsidRPr="00A319C2" w:rsidRDefault="00A319C2" w:rsidP="007E3119">
      <w:pPr>
        <w:spacing w:after="0" w:line="240" w:lineRule="auto"/>
        <w:rPr>
          <w:rFonts w:ascii="Arial" w:hAnsi="Arial" w:cs="Arial"/>
          <w:color w:val="000000" w:themeColor="text1"/>
          <w:sz w:val="24"/>
          <w:szCs w:val="24"/>
          <w:lang w:val="en-US"/>
        </w:rPr>
      </w:pPr>
    </w:p>
    <w:p w14:paraId="1B1B6B95" w14:textId="77777777" w:rsidR="00D256DA" w:rsidRPr="00A319C2" w:rsidRDefault="00D256DA" w:rsidP="007E3119">
      <w:pPr>
        <w:spacing w:after="0" w:line="240" w:lineRule="auto"/>
        <w:rPr>
          <w:rFonts w:ascii="Arial" w:hAnsi="Arial" w:cs="Arial"/>
          <w:color w:val="000000" w:themeColor="text1"/>
          <w:sz w:val="24"/>
          <w:szCs w:val="24"/>
          <w:lang w:val="en-US"/>
        </w:rPr>
      </w:pPr>
    </w:p>
    <w:p w14:paraId="05FAFB5D" w14:textId="7CB2DEBD" w:rsidR="00D256DA" w:rsidRPr="00A319C2" w:rsidRDefault="00D256DA" w:rsidP="007E3119">
      <w:pPr>
        <w:suppressAutoHyphens/>
        <w:spacing w:after="0" w:line="240" w:lineRule="auto"/>
        <w:jc w:val="center"/>
        <w:rPr>
          <w:rFonts w:ascii="Arial" w:hAnsi="Arial" w:cs="Arial"/>
          <w:b/>
          <w:bCs/>
          <w:color w:val="000000" w:themeColor="text1"/>
          <w:spacing w:val="-3"/>
          <w:sz w:val="24"/>
          <w:szCs w:val="24"/>
        </w:rPr>
      </w:pPr>
      <w:r w:rsidRPr="00A319C2">
        <w:rPr>
          <w:rFonts w:ascii="Arial" w:hAnsi="Arial" w:cs="Arial"/>
          <w:b/>
          <w:bCs/>
          <w:color w:val="000000" w:themeColor="text1"/>
          <w:spacing w:val="-3"/>
          <w:sz w:val="24"/>
          <w:szCs w:val="24"/>
        </w:rPr>
        <w:t>SOCIAL SECURITY ADMINISTRATION (NORTHERN IRELAND) ACT 1992</w:t>
      </w:r>
    </w:p>
    <w:p w14:paraId="0889D629" w14:textId="77777777" w:rsidR="00D256DA" w:rsidRPr="00A319C2" w:rsidRDefault="00D256DA" w:rsidP="007E3119">
      <w:pPr>
        <w:suppressAutoHyphens/>
        <w:spacing w:after="0" w:line="240" w:lineRule="auto"/>
        <w:jc w:val="center"/>
        <w:rPr>
          <w:rFonts w:ascii="Arial" w:hAnsi="Arial" w:cs="Arial"/>
          <w:b/>
          <w:bCs/>
          <w:color w:val="000000" w:themeColor="text1"/>
          <w:spacing w:val="-3"/>
          <w:sz w:val="24"/>
          <w:szCs w:val="24"/>
        </w:rPr>
      </w:pPr>
    </w:p>
    <w:p w14:paraId="2AE99F4A" w14:textId="32151AA8" w:rsidR="00D256DA" w:rsidRPr="00A319C2" w:rsidRDefault="00D256DA" w:rsidP="007E3119">
      <w:pPr>
        <w:suppressAutoHyphens/>
        <w:spacing w:after="0" w:line="240" w:lineRule="auto"/>
        <w:jc w:val="center"/>
        <w:rPr>
          <w:rFonts w:ascii="Arial" w:hAnsi="Arial" w:cs="Arial"/>
          <w:b/>
          <w:bCs/>
          <w:color w:val="000000" w:themeColor="text1"/>
          <w:spacing w:val="-3"/>
          <w:sz w:val="24"/>
          <w:szCs w:val="24"/>
        </w:rPr>
      </w:pPr>
      <w:r w:rsidRPr="00A319C2">
        <w:rPr>
          <w:rFonts w:ascii="Arial" w:hAnsi="Arial" w:cs="Arial"/>
          <w:b/>
          <w:bCs/>
          <w:color w:val="000000" w:themeColor="text1"/>
          <w:spacing w:val="-3"/>
          <w:sz w:val="24"/>
          <w:szCs w:val="24"/>
        </w:rPr>
        <w:t>SOCIAL SECURITY (NORTHERN IRELAND) ORDER 1998</w:t>
      </w:r>
    </w:p>
    <w:p w14:paraId="5F909CCB" w14:textId="77777777" w:rsidR="00D256DA" w:rsidRPr="00A319C2" w:rsidRDefault="00D256DA" w:rsidP="007E3119">
      <w:pPr>
        <w:suppressAutoHyphens/>
        <w:spacing w:after="0" w:line="240" w:lineRule="auto"/>
        <w:jc w:val="center"/>
        <w:rPr>
          <w:rFonts w:ascii="Arial" w:hAnsi="Arial" w:cs="Arial"/>
          <w:b/>
          <w:bCs/>
          <w:color w:val="000000" w:themeColor="text1"/>
          <w:spacing w:val="-3"/>
          <w:sz w:val="24"/>
          <w:szCs w:val="24"/>
        </w:rPr>
      </w:pPr>
    </w:p>
    <w:p w14:paraId="49DBF974" w14:textId="77777777" w:rsidR="00D256DA" w:rsidRPr="00A319C2" w:rsidRDefault="00D256DA" w:rsidP="007E3119">
      <w:pPr>
        <w:suppressAutoHyphens/>
        <w:spacing w:after="0" w:line="240" w:lineRule="auto"/>
        <w:jc w:val="center"/>
        <w:rPr>
          <w:rFonts w:ascii="Arial" w:hAnsi="Arial" w:cs="Arial"/>
          <w:b/>
          <w:bCs/>
          <w:color w:val="000000" w:themeColor="text1"/>
          <w:spacing w:val="-3"/>
          <w:sz w:val="24"/>
          <w:szCs w:val="24"/>
        </w:rPr>
      </w:pPr>
    </w:p>
    <w:p w14:paraId="16FDAB96" w14:textId="6EAC6B15" w:rsidR="00D256DA" w:rsidRPr="00A319C2" w:rsidRDefault="00D256DA" w:rsidP="007E3119">
      <w:pPr>
        <w:tabs>
          <w:tab w:val="center" w:pos="4513"/>
        </w:tabs>
        <w:suppressAutoHyphens/>
        <w:spacing w:after="0" w:line="240" w:lineRule="auto"/>
        <w:jc w:val="center"/>
        <w:rPr>
          <w:rFonts w:ascii="Arial" w:hAnsi="Arial" w:cs="Arial"/>
          <w:color w:val="000000" w:themeColor="text1"/>
          <w:spacing w:val="-3"/>
          <w:sz w:val="24"/>
          <w:szCs w:val="24"/>
          <w:u w:val="single"/>
        </w:rPr>
      </w:pPr>
      <w:r w:rsidRPr="00A319C2">
        <w:rPr>
          <w:rFonts w:ascii="Arial" w:hAnsi="Arial" w:cs="Arial"/>
          <w:b/>
          <w:bCs/>
          <w:color w:val="000000" w:themeColor="text1"/>
          <w:spacing w:val="-3"/>
          <w:sz w:val="24"/>
          <w:szCs w:val="24"/>
          <w:u w:val="single"/>
        </w:rPr>
        <w:t>UNIVERSAL CREDIT</w:t>
      </w:r>
    </w:p>
    <w:p w14:paraId="1CAC682B" w14:textId="77777777" w:rsidR="00D256DA" w:rsidRPr="00A319C2" w:rsidRDefault="00D256DA" w:rsidP="007E3119">
      <w:pPr>
        <w:tabs>
          <w:tab w:val="left" w:pos="-720"/>
        </w:tabs>
        <w:suppressAutoHyphens/>
        <w:spacing w:after="0" w:line="240" w:lineRule="auto"/>
        <w:jc w:val="center"/>
        <w:rPr>
          <w:rFonts w:ascii="Arial" w:hAnsi="Arial" w:cs="Arial"/>
          <w:color w:val="000000" w:themeColor="text1"/>
          <w:spacing w:val="-3"/>
          <w:sz w:val="24"/>
          <w:szCs w:val="24"/>
        </w:rPr>
      </w:pPr>
    </w:p>
    <w:p w14:paraId="1D2508D3" w14:textId="77777777" w:rsidR="00D256DA" w:rsidRPr="00A319C2" w:rsidRDefault="00D256DA" w:rsidP="007E3119">
      <w:pPr>
        <w:tabs>
          <w:tab w:val="left" w:pos="-720"/>
        </w:tabs>
        <w:suppressAutoHyphens/>
        <w:spacing w:after="0" w:line="240" w:lineRule="auto"/>
        <w:jc w:val="center"/>
        <w:rPr>
          <w:rFonts w:ascii="Arial" w:hAnsi="Arial" w:cs="Arial"/>
          <w:color w:val="000000" w:themeColor="text1"/>
          <w:spacing w:val="-3"/>
          <w:sz w:val="24"/>
          <w:szCs w:val="24"/>
        </w:rPr>
      </w:pPr>
    </w:p>
    <w:p w14:paraId="30D039E8" w14:textId="6794EC7A" w:rsidR="00D256DA" w:rsidRPr="00A319C2" w:rsidRDefault="00D256DA" w:rsidP="007E3119">
      <w:pPr>
        <w:tabs>
          <w:tab w:val="center" w:pos="4513"/>
        </w:tabs>
        <w:suppressAutoHyphens/>
        <w:spacing w:after="0" w:line="240" w:lineRule="auto"/>
        <w:jc w:val="center"/>
        <w:rPr>
          <w:rFonts w:ascii="Arial" w:hAnsi="Arial" w:cs="Arial"/>
          <w:color w:val="000000" w:themeColor="text1"/>
          <w:spacing w:val="-3"/>
          <w:sz w:val="24"/>
          <w:szCs w:val="24"/>
        </w:rPr>
      </w:pPr>
      <w:r w:rsidRPr="00A319C2">
        <w:rPr>
          <w:rFonts w:ascii="Arial" w:hAnsi="Arial" w:cs="Arial"/>
          <w:color w:val="000000" w:themeColor="text1"/>
          <w:spacing w:val="-3"/>
          <w:sz w:val="24"/>
          <w:szCs w:val="24"/>
        </w:rPr>
        <w:t>Appeal to a Social Security Commissioner by the Department</w:t>
      </w:r>
    </w:p>
    <w:p w14:paraId="3F4A360C" w14:textId="72F2EA63" w:rsidR="00D256DA" w:rsidRPr="00A319C2" w:rsidRDefault="00D256DA" w:rsidP="007E3119">
      <w:pPr>
        <w:tabs>
          <w:tab w:val="center" w:pos="4513"/>
        </w:tabs>
        <w:suppressAutoHyphens/>
        <w:spacing w:after="0" w:line="240" w:lineRule="auto"/>
        <w:jc w:val="center"/>
        <w:rPr>
          <w:rFonts w:ascii="Arial" w:hAnsi="Arial" w:cs="Arial"/>
          <w:color w:val="000000" w:themeColor="text1"/>
          <w:spacing w:val="-3"/>
          <w:sz w:val="24"/>
          <w:szCs w:val="24"/>
        </w:rPr>
      </w:pPr>
      <w:r w:rsidRPr="00A319C2">
        <w:rPr>
          <w:rFonts w:ascii="Arial" w:hAnsi="Arial" w:cs="Arial"/>
          <w:color w:val="000000" w:themeColor="text1"/>
          <w:spacing w:val="-3"/>
          <w:sz w:val="24"/>
          <w:szCs w:val="24"/>
        </w:rPr>
        <w:t>on a question of law from a Tribunal's decision</w:t>
      </w:r>
    </w:p>
    <w:p w14:paraId="1D08501D" w14:textId="5740FB3B" w:rsidR="00D256DA" w:rsidRPr="00A319C2" w:rsidRDefault="00D256DA" w:rsidP="007E3119">
      <w:pPr>
        <w:tabs>
          <w:tab w:val="center" w:pos="4513"/>
        </w:tabs>
        <w:suppressAutoHyphens/>
        <w:spacing w:after="0" w:line="240" w:lineRule="auto"/>
        <w:jc w:val="center"/>
        <w:rPr>
          <w:rFonts w:ascii="Arial" w:hAnsi="Arial" w:cs="Arial"/>
          <w:color w:val="000000" w:themeColor="text1"/>
          <w:spacing w:val="-3"/>
          <w:sz w:val="24"/>
          <w:szCs w:val="24"/>
        </w:rPr>
      </w:pPr>
      <w:r w:rsidRPr="00A319C2">
        <w:rPr>
          <w:rFonts w:ascii="Arial" w:hAnsi="Arial" w:cs="Arial"/>
          <w:color w:val="000000" w:themeColor="text1"/>
          <w:spacing w:val="-3"/>
          <w:sz w:val="24"/>
          <w:szCs w:val="24"/>
        </w:rPr>
        <w:t>dated 28 October 2020</w:t>
      </w:r>
    </w:p>
    <w:p w14:paraId="62F635A2" w14:textId="77777777" w:rsidR="00D256DA" w:rsidRPr="00A319C2" w:rsidRDefault="00D256DA" w:rsidP="007E3119">
      <w:pPr>
        <w:tabs>
          <w:tab w:val="left" w:pos="-720"/>
        </w:tabs>
        <w:suppressAutoHyphens/>
        <w:spacing w:after="0" w:line="240" w:lineRule="auto"/>
        <w:jc w:val="center"/>
        <w:rPr>
          <w:rFonts w:ascii="Arial" w:hAnsi="Arial" w:cs="Arial"/>
          <w:color w:val="000000" w:themeColor="text1"/>
          <w:spacing w:val="-3"/>
          <w:sz w:val="24"/>
          <w:szCs w:val="24"/>
        </w:rPr>
      </w:pPr>
    </w:p>
    <w:p w14:paraId="1A748489" w14:textId="77777777" w:rsidR="00D256DA" w:rsidRPr="00A319C2" w:rsidRDefault="00D256DA" w:rsidP="007E3119">
      <w:pPr>
        <w:tabs>
          <w:tab w:val="left" w:pos="-720"/>
        </w:tabs>
        <w:suppressAutoHyphens/>
        <w:spacing w:after="0" w:line="240" w:lineRule="auto"/>
        <w:jc w:val="center"/>
        <w:rPr>
          <w:rFonts w:ascii="Arial" w:hAnsi="Arial" w:cs="Arial"/>
          <w:color w:val="000000" w:themeColor="text1"/>
          <w:spacing w:val="-3"/>
          <w:sz w:val="24"/>
          <w:szCs w:val="24"/>
        </w:rPr>
      </w:pPr>
    </w:p>
    <w:p w14:paraId="030D38D7" w14:textId="6C16BDA4" w:rsidR="00D256DA" w:rsidRPr="00A319C2" w:rsidRDefault="00D256DA" w:rsidP="007E3119">
      <w:pPr>
        <w:tabs>
          <w:tab w:val="center" w:pos="4513"/>
        </w:tabs>
        <w:suppressAutoHyphens/>
        <w:spacing w:after="0" w:line="240" w:lineRule="auto"/>
        <w:jc w:val="center"/>
        <w:rPr>
          <w:rFonts w:ascii="Arial" w:hAnsi="Arial" w:cs="Arial"/>
          <w:color w:val="000000" w:themeColor="text1"/>
          <w:spacing w:val="-3"/>
          <w:sz w:val="24"/>
          <w:szCs w:val="24"/>
          <w:u w:val="single"/>
        </w:rPr>
      </w:pPr>
      <w:r w:rsidRPr="00A319C2">
        <w:rPr>
          <w:rFonts w:ascii="Arial" w:hAnsi="Arial" w:cs="Arial"/>
          <w:color w:val="000000" w:themeColor="text1"/>
          <w:spacing w:val="-3"/>
          <w:sz w:val="24"/>
          <w:szCs w:val="24"/>
          <w:u w:val="single"/>
        </w:rPr>
        <w:t>DECISION OF THE SOCIAL SECURITY COMMISSIONER</w:t>
      </w:r>
    </w:p>
    <w:p w14:paraId="2D4A4502" w14:textId="7A004B80" w:rsidR="00D256DA" w:rsidRPr="00A319C2" w:rsidRDefault="00D256DA" w:rsidP="007E3119">
      <w:pPr>
        <w:spacing w:after="0" w:line="240" w:lineRule="auto"/>
        <w:rPr>
          <w:rFonts w:ascii="Arial" w:hAnsi="Arial" w:cs="Arial"/>
          <w:color w:val="000000" w:themeColor="text1"/>
          <w:sz w:val="24"/>
          <w:szCs w:val="24"/>
          <w:lang w:val="en-US"/>
        </w:rPr>
      </w:pPr>
    </w:p>
    <w:p w14:paraId="785D7830" w14:textId="77777777" w:rsidR="00A319C2" w:rsidRPr="00A319C2" w:rsidRDefault="00A319C2" w:rsidP="007E3119">
      <w:pPr>
        <w:spacing w:after="0" w:line="240" w:lineRule="auto"/>
        <w:rPr>
          <w:rFonts w:ascii="Arial" w:hAnsi="Arial" w:cs="Arial"/>
          <w:color w:val="000000" w:themeColor="text1"/>
          <w:sz w:val="24"/>
          <w:szCs w:val="24"/>
          <w:lang w:val="en-US"/>
        </w:rPr>
      </w:pPr>
    </w:p>
    <w:p w14:paraId="15461A59" w14:textId="59D730EC"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1.</w:t>
      </w:r>
      <w:r w:rsidRPr="00A319C2">
        <w:rPr>
          <w:rFonts w:ascii="Arial" w:hAnsi="Arial" w:cs="Arial"/>
          <w:color w:val="000000" w:themeColor="text1"/>
          <w:sz w:val="24"/>
          <w:szCs w:val="24"/>
        </w:rPr>
        <w:tab/>
        <w:t>This is an appeal by the Department for Communities from the decision of a tribunal with reference LD/4562/19/05/D.</w:t>
      </w:r>
    </w:p>
    <w:p w14:paraId="3D6D90CA" w14:textId="77777777"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F5861A9" w14:textId="6057547B"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2.</w:t>
      </w:r>
      <w:r w:rsidRPr="00A319C2">
        <w:rPr>
          <w:rFonts w:ascii="Arial" w:hAnsi="Arial" w:cs="Arial"/>
          <w:color w:val="000000" w:themeColor="text1"/>
          <w:sz w:val="24"/>
          <w:szCs w:val="24"/>
        </w:rPr>
        <w:tab/>
        <w:t xml:space="preserve">For the reasons I give below, I allow the Department’s appeal.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I set aside the decision of the appeal tribunal on the basis of error of </w:t>
      </w:r>
      <w:proofErr w:type="gramStart"/>
      <w:r w:rsidRPr="00A319C2">
        <w:rPr>
          <w:rFonts w:ascii="Arial" w:hAnsi="Arial" w:cs="Arial"/>
          <w:color w:val="000000" w:themeColor="text1"/>
          <w:sz w:val="24"/>
          <w:szCs w:val="24"/>
        </w:rPr>
        <w:t>law</w:t>
      </w:r>
      <w:proofErr w:type="gramEnd"/>
      <w:r w:rsidRPr="00A319C2">
        <w:rPr>
          <w:rFonts w:ascii="Arial" w:hAnsi="Arial" w:cs="Arial"/>
          <w:color w:val="000000" w:themeColor="text1"/>
          <w:sz w:val="24"/>
          <w:szCs w:val="24"/>
        </w:rPr>
        <w:t xml:space="preserve"> and I determine the appeal myself under Article 15(8)(a)(ii) of the Social Security (NI) Order 1998.</w:t>
      </w:r>
    </w:p>
    <w:p w14:paraId="6CA766C9" w14:textId="77777777"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D1F176A" w14:textId="6663A416"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3.</w:t>
      </w:r>
      <w:r w:rsidRPr="00A319C2">
        <w:rPr>
          <w:rFonts w:ascii="Arial" w:hAnsi="Arial" w:cs="Arial"/>
          <w:color w:val="000000" w:themeColor="text1"/>
          <w:sz w:val="24"/>
          <w:szCs w:val="24"/>
        </w:rPr>
        <w:tab/>
        <w:t xml:space="preserve">Having considered the </w:t>
      </w:r>
      <w:proofErr w:type="gramStart"/>
      <w:r w:rsidRPr="00A319C2">
        <w:rPr>
          <w:rFonts w:ascii="Arial" w:hAnsi="Arial" w:cs="Arial"/>
          <w:color w:val="000000" w:themeColor="text1"/>
          <w:sz w:val="24"/>
          <w:szCs w:val="24"/>
        </w:rPr>
        <w:t>appeal</w:t>
      </w:r>
      <w:proofErr w:type="gramEnd"/>
      <w:r w:rsidRPr="00A319C2">
        <w:rPr>
          <w:rFonts w:ascii="Arial" w:hAnsi="Arial" w:cs="Arial"/>
          <w:color w:val="000000" w:themeColor="text1"/>
          <w:sz w:val="24"/>
          <w:szCs w:val="24"/>
        </w:rPr>
        <w:t xml:space="preserve"> myself I make further findings of fact on the basis of agreed evidence.</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I disallow the respondent’s appeal.</w:t>
      </w:r>
    </w:p>
    <w:p w14:paraId="5CD23B03" w14:textId="77777777" w:rsidR="00D256DA" w:rsidRPr="00A319C2" w:rsidRDefault="00D256DA" w:rsidP="007E3119">
      <w:pPr>
        <w:tabs>
          <w:tab w:val="left" w:pos="510"/>
          <w:tab w:val="left" w:pos="1077"/>
          <w:tab w:val="left" w:pos="1797"/>
        </w:tabs>
        <w:spacing w:after="0" w:line="240" w:lineRule="auto"/>
        <w:rPr>
          <w:rFonts w:ascii="Arial" w:hAnsi="Arial" w:cs="Arial"/>
          <w:color w:val="000000" w:themeColor="text1"/>
          <w:sz w:val="24"/>
          <w:szCs w:val="24"/>
        </w:rPr>
      </w:pPr>
    </w:p>
    <w:p w14:paraId="082EC586" w14:textId="77777777" w:rsidR="00D256DA" w:rsidRPr="00A319C2" w:rsidRDefault="00D256DA" w:rsidP="007E3119">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A319C2">
        <w:rPr>
          <w:rFonts w:ascii="Arial" w:hAnsi="Arial" w:cs="Arial"/>
          <w:b/>
          <w:bCs/>
          <w:color w:val="000000" w:themeColor="text1"/>
          <w:sz w:val="24"/>
          <w:szCs w:val="24"/>
          <w:u w:val="single"/>
        </w:rPr>
        <w:t>REASONS</w:t>
      </w:r>
    </w:p>
    <w:p w14:paraId="055C5A95" w14:textId="77777777" w:rsidR="00D256DA" w:rsidRPr="00A319C2" w:rsidRDefault="00D256DA" w:rsidP="007E3119">
      <w:pPr>
        <w:tabs>
          <w:tab w:val="left" w:pos="510"/>
          <w:tab w:val="left" w:pos="1077"/>
          <w:tab w:val="left" w:pos="1797"/>
        </w:tabs>
        <w:spacing w:after="0" w:line="240" w:lineRule="auto"/>
        <w:rPr>
          <w:rFonts w:ascii="Arial" w:hAnsi="Arial" w:cs="Arial"/>
          <w:color w:val="000000" w:themeColor="text1"/>
          <w:sz w:val="24"/>
          <w:szCs w:val="24"/>
        </w:rPr>
      </w:pPr>
    </w:p>
    <w:p w14:paraId="430BC2BF" w14:textId="179ADA81" w:rsidR="00D256DA" w:rsidRPr="00A319C2" w:rsidRDefault="00A319C2" w:rsidP="007E3119">
      <w:pPr>
        <w:tabs>
          <w:tab w:val="left" w:pos="510"/>
          <w:tab w:val="left" w:pos="1077"/>
          <w:tab w:val="left" w:pos="1797"/>
        </w:tabs>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Background</w:t>
      </w:r>
    </w:p>
    <w:p w14:paraId="353AF134" w14:textId="77777777" w:rsidR="00D256DA" w:rsidRPr="00A319C2" w:rsidRDefault="00D256DA" w:rsidP="007E3119">
      <w:pPr>
        <w:tabs>
          <w:tab w:val="left" w:pos="510"/>
          <w:tab w:val="left" w:pos="1077"/>
          <w:tab w:val="left" w:pos="1797"/>
        </w:tabs>
        <w:spacing w:after="0" w:line="240" w:lineRule="auto"/>
        <w:rPr>
          <w:rFonts w:ascii="Arial" w:hAnsi="Arial" w:cs="Arial"/>
          <w:color w:val="000000" w:themeColor="text1"/>
          <w:sz w:val="24"/>
          <w:szCs w:val="24"/>
        </w:rPr>
      </w:pPr>
    </w:p>
    <w:p w14:paraId="31442D3C" w14:textId="3AB60B70"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4.</w:t>
      </w:r>
      <w:r w:rsidRPr="00A319C2">
        <w:rPr>
          <w:rFonts w:ascii="Arial" w:hAnsi="Arial" w:cs="Arial"/>
          <w:color w:val="000000" w:themeColor="text1"/>
          <w:sz w:val="24"/>
          <w:szCs w:val="24"/>
        </w:rPr>
        <w:tab/>
        <w:t xml:space="preserve">The applicant had made a claim for universal credit (UC) from the Department for Communities (the Department) on 19 November 2018.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On 28 December 2018 the Department decided that he was entitled to nil UC for the assessment period from 19 November 2018 to 18 December 2018 as his earnings exceeded his entitlement to UC.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The Department decided that he had received earnings of £1,014.90 in the assessment period.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The applicant requested a reconsideration.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On 17 September 2019 the decision was reconsidered by the Department but not revised.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The respondent appealed.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The appeal was considered on 28 October 2020 by a tribunal consisting of a legally qualified member (LQM) sitting alone.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The tribunal allowed the respondent’s appeal.</w:t>
      </w:r>
    </w:p>
    <w:p w14:paraId="1F882C5E" w14:textId="77777777" w:rsidR="00D256DA" w:rsidRPr="00A319C2" w:rsidRDefault="00D256DA" w:rsidP="007E3119">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461AD642" w14:textId="264C97BC"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lastRenderedPageBreak/>
        <w:t>5.</w:t>
      </w:r>
      <w:r w:rsidRPr="00A319C2">
        <w:rPr>
          <w:rFonts w:ascii="Arial" w:hAnsi="Arial" w:cs="Arial"/>
          <w:color w:val="000000" w:themeColor="text1"/>
          <w:sz w:val="24"/>
          <w:szCs w:val="24"/>
        </w:rPr>
        <w:tab/>
        <w:t xml:space="preserve">The Department requested a statement of reasons for the tribunal’s </w:t>
      </w:r>
      <w:r w:rsidR="00512FED" w:rsidRPr="00A319C2">
        <w:rPr>
          <w:rFonts w:ascii="Arial" w:hAnsi="Arial" w:cs="Arial"/>
          <w:color w:val="000000" w:themeColor="text1"/>
          <w:sz w:val="24"/>
          <w:szCs w:val="24"/>
        </w:rPr>
        <w:t>decision,</w:t>
      </w:r>
      <w:r w:rsidRPr="00A319C2">
        <w:rPr>
          <w:rFonts w:ascii="Arial" w:hAnsi="Arial" w:cs="Arial"/>
          <w:color w:val="000000" w:themeColor="text1"/>
          <w:sz w:val="24"/>
          <w:szCs w:val="24"/>
        </w:rPr>
        <w:t xml:space="preserve"> and this was issued on 14 June 2021.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The Department applied to the tribunal for leave to appeal to the Social Security Commissioner.</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w:t>
      </w:r>
      <w:r w:rsidR="00512FED" w:rsidRPr="00A319C2">
        <w:rPr>
          <w:rFonts w:ascii="Arial" w:hAnsi="Arial" w:cs="Arial"/>
          <w:color w:val="000000" w:themeColor="text1"/>
          <w:sz w:val="24"/>
          <w:szCs w:val="24"/>
        </w:rPr>
        <w:t>The President</w:t>
      </w:r>
      <w:r w:rsidRPr="00A319C2">
        <w:rPr>
          <w:rFonts w:ascii="Arial" w:hAnsi="Arial" w:cs="Arial"/>
          <w:color w:val="000000" w:themeColor="text1"/>
          <w:sz w:val="24"/>
          <w:szCs w:val="24"/>
        </w:rPr>
        <w:t xml:space="preserve"> of the Appeals Service granted leave to appeal by a decision issued on 27 September 2021 on the grounds advanced by the Department in its letter of 24 June 2021. </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On 1 October 2021 the Department appealed to the Social Security Commissioner in the same terms </w:t>
      </w:r>
    </w:p>
    <w:p w14:paraId="0E9A8017"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5830AB3A" w14:textId="55D9D4A1" w:rsidR="00D256DA" w:rsidRPr="00A319C2" w:rsidRDefault="00A319C2" w:rsidP="007E3119">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Grounds</w:t>
      </w:r>
    </w:p>
    <w:p w14:paraId="5E25A4BD"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652DCA3D" w14:textId="77777777"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6.</w:t>
      </w:r>
      <w:r w:rsidRPr="00A319C2">
        <w:rPr>
          <w:rFonts w:ascii="Arial" w:hAnsi="Arial" w:cs="Arial"/>
          <w:color w:val="000000" w:themeColor="text1"/>
          <w:sz w:val="24"/>
          <w:szCs w:val="24"/>
        </w:rPr>
        <w:tab/>
        <w:t>The Department submits that the tribunal has erred in law on the basis that:</w:t>
      </w:r>
    </w:p>
    <w:p w14:paraId="28B46F5C"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2D20F729" w14:textId="35902A8B" w:rsidR="00D256DA" w:rsidRPr="00A319C2" w:rsidRDefault="00A319C2" w:rsidP="007E3119">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It erroneously discounted earnings received in the assessment period on the basis that they were not made “in respect of” the assessment </w:t>
      </w:r>
      <w:proofErr w:type="gramStart"/>
      <w:r w:rsidR="00D256DA" w:rsidRPr="00A319C2">
        <w:rPr>
          <w:rFonts w:ascii="Arial" w:hAnsi="Arial" w:cs="Arial"/>
          <w:color w:val="000000" w:themeColor="text1"/>
          <w:sz w:val="24"/>
          <w:szCs w:val="24"/>
        </w:rPr>
        <w:t>period;</w:t>
      </w:r>
      <w:proofErr w:type="gramEnd"/>
    </w:p>
    <w:p w14:paraId="64B6B875" w14:textId="77777777" w:rsidR="00D256DA" w:rsidRPr="00A319C2" w:rsidRDefault="00D256DA" w:rsidP="007E3119">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50CF552B" w14:textId="18C1DC31" w:rsidR="00D256DA" w:rsidRPr="00A319C2" w:rsidRDefault="00A319C2" w:rsidP="007E3119">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t>(ii)</w:t>
      </w:r>
      <w:r>
        <w:rPr>
          <w:rFonts w:ascii="Arial" w:hAnsi="Arial" w:cs="Arial"/>
          <w:color w:val="000000" w:themeColor="text1"/>
          <w:sz w:val="24"/>
          <w:szCs w:val="24"/>
        </w:rPr>
        <w:tab/>
      </w:r>
      <w:r w:rsidR="00D256DA" w:rsidRPr="00A319C2">
        <w:rPr>
          <w:rFonts w:ascii="Arial" w:hAnsi="Arial" w:cs="Arial"/>
          <w:color w:val="000000" w:themeColor="text1"/>
          <w:sz w:val="24"/>
          <w:szCs w:val="24"/>
        </w:rPr>
        <w:t>It erroneously applied an amended version of the UC Regulations that was not in force at the date of the decision under appeal.</w:t>
      </w:r>
    </w:p>
    <w:p w14:paraId="3D032558"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3CBC68D3" w14:textId="1FD6C2A1"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7.</w:t>
      </w:r>
      <w:r w:rsidRPr="00A319C2">
        <w:rPr>
          <w:rFonts w:ascii="Arial" w:hAnsi="Arial" w:cs="Arial"/>
          <w:color w:val="000000" w:themeColor="text1"/>
          <w:sz w:val="24"/>
          <w:szCs w:val="24"/>
        </w:rPr>
        <w:tab/>
        <w:t>The respondent was invited to make observations in response to the appeal, giving him one month to respond.</w:t>
      </w:r>
      <w:r w:rsidR="00A319C2">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No observations were received from the respondent.</w:t>
      </w:r>
    </w:p>
    <w:p w14:paraId="230E47E9" w14:textId="77777777"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5E986A4" w14:textId="0CF560ED"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A319C2">
        <w:rPr>
          <w:rFonts w:ascii="Arial" w:hAnsi="Arial" w:cs="Arial"/>
          <w:color w:val="000000" w:themeColor="text1"/>
          <w:sz w:val="24"/>
          <w:szCs w:val="24"/>
        </w:rPr>
        <w:t>8.</w:t>
      </w:r>
      <w:r w:rsidRPr="00A319C2">
        <w:rPr>
          <w:rFonts w:ascii="Arial" w:hAnsi="Arial" w:cs="Arial"/>
          <w:color w:val="000000" w:themeColor="text1"/>
          <w:sz w:val="24"/>
          <w:szCs w:val="24"/>
        </w:rPr>
        <w:tab/>
        <w:t xml:space="preserve">The Department subsequently made further submissions, placing reliance on the Upper Tribunal decision of </w:t>
      </w:r>
      <w:r w:rsidRPr="00A319C2">
        <w:rPr>
          <w:rFonts w:ascii="Arial" w:hAnsi="Arial" w:cs="Arial"/>
          <w:i/>
          <w:color w:val="000000" w:themeColor="text1"/>
          <w:sz w:val="24"/>
          <w:szCs w:val="24"/>
        </w:rPr>
        <w:t>PT v Secretary of State for Work and Pensions</w:t>
      </w:r>
      <w:r w:rsidRPr="00A319C2">
        <w:rPr>
          <w:rFonts w:ascii="Arial" w:hAnsi="Arial" w:cs="Arial"/>
          <w:color w:val="000000" w:themeColor="text1"/>
          <w:sz w:val="24"/>
          <w:szCs w:val="24"/>
        </w:rPr>
        <w:t xml:space="preserve"> [2015] UKUT 696.</w:t>
      </w:r>
    </w:p>
    <w:p w14:paraId="1ADF28FB"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7E33F222" w14:textId="3C940DAF" w:rsidR="00D256DA" w:rsidRPr="00A319C2" w:rsidRDefault="00A319C2" w:rsidP="007E3119">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Relevant legislation</w:t>
      </w:r>
    </w:p>
    <w:p w14:paraId="29DCF119" w14:textId="77777777" w:rsidR="00D256DA" w:rsidRPr="008B5DD4" w:rsidRDefault="00D256DA" w:rsidP="007E3119">
      <w:pPr>
        <w:tabs>
          <w:tab w:val="left" w:pos="510"/>
          <w:tab w:val="left" w:pos="1077"/>
          <w:tab w:val="left" w:pos="1797"/>
        </w:tabs>
        <w:spacing w:after="0" w:line="240" w:lineRule="auto"/>
        <w:jc w:val="both"/>
        <w:rPr>
          <w:rFonts w:ascii="Arial" w:hAnsi="Arial" w:cs="Arial"/>
          <w:bCs/>
          <w:color w:val="000000" w:themeColor="text1"/>
          <w:sz w:val="24"/>
          <w:szCs w:val="24"/>
        </w:rPr>
      </w:pPr>
    </w:p>
    <w:p w14:paraId="1C1A118B" w14:textId="3AB8DA35" w:rsidR="00D256DA" w:rsidRPr="00A319C2" w:rsidRDefault="00D256DA" w:rsidP="007E3119">
      <w:pPr>
        <w:tabs>
          <w:tab w:val="left" w:pos="510"/>
          <w:tab w:val="left" w:pos="1077"/>
          <w:tab w:val="left" w:pos="1797"/>
        </w:tabs>
        <w:spacing w:after="0" w:line="240" w:lineRule="auto"/>
        <w:ind w:left="510" w:hanging="510"/>
        <w:jc w:val="both"/>
        <w:rPr>
          <w:rFonts w:ascii="Arial" w:hAnsi="Arial" w:cs="Arial"/>
          <w:b/>
          <w:color w:val="000000" w:themeColor="text1"/>
          <w:sz w:val="24"/>
          <w:szCs w:val="24"/>
        </w:rPr>
      </w:pPr>
      <w:r w:rsidRPr="00A319C2">
        <w:rPr>
          <w:rFonts w:ascii="Arial" w:hAnsi="Arial" w:cs="Arial"/>
          <w:color w:val="000000" w:themeColor="text1"/>
          <w:sz w:val="24"/>
          <w:szCs w:val="24"/>
        </w:rPr>
        <w:t>9.</w:t>
      </w:r>
      <w:r w:rsidRPr="00A319C2">
        <w:rPr>
          <w:rFonts w:ascii="Arial" w:hAnsi="Arial" w:cs="Arial"/>
          <w:color w:val="000000" w:themeColor="text1"/>
          <w:sz w:val="24"/>
          <w:szCs w:val="24"/>
        </w:rPr>
        <w:tab/>
        <w:t>The scheme of UC was established in Northern Ireland by the Great Britain Secretary of State for Work and Pensions under powers granted by section 1 of the Northern Ireland (Welfare Reform) Act 2015.</w:t>
      </w:r>
      <w:r w:rsidR="008B5DD4">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It was introduced on a phased basis, commencing on 27 September 2017. </w:t>
      </w:r>
      <w:r w:rsidR="008B5DD4">
        <w:rPr>
          <w:rFonts w:ascii="Arial" w:hAnsi="Arial" w:cs="Arial"/>
          <w:color w:val="000000" w:themeColor="text1"/>
          <w:sz w:val="24"/>
          <w:szCs w:val="24"/>
        </w:rPr>
        <w:t xml:space="preserve"> </w:t>
      </w:r>
      <w:r w:rsidRPr="00A319C2">
        <w:rPr>
          <w:rFonts w:ascii="Arial" w:hAnsi="Arial" w:cs="Arial"/>
          <w:color w:val="000000" w:themeColor="text1"/>
          <w:sz w:val="24"/>
          <w:szCs w:val="24"/>
        </w:rPr>
        <w:t>By article 8(2) of the Welfare Reform (NI) Order 2015 (the Order):</w:t>
      </w:r>
    </w:p>
    <w:p w14:paraId="2F1FC396"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709F0CE8" w14:textId="7992434B" w:rsidR="00D256DA" w:rsidRPr="008B5DD4" w:rsidRDefault="008B5DD4" w:rsidP="007E3119">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r w:rsidR="00D256DA" w:rsidRPr="008B5DD4">
        <w:rPr>
          <w:rFonts w:ascii="Arial" w:hAnsi="Arial" w:cs="Arial"/>
          <w:color w:val="000000" w:themeColor="text1"/>
          <w:sz w:val="24"/>
          <w:szCs w:val="24"/>
        </w:rPr>
        <w:t>Joint claimants are jointly entitled to universal credit</w:t>
      </w:r>
      <w:r w:rsidR="00D256DA" w:rsidRPr="008B5DD4">
        <w:rPr>
          <w:rFonts w:ascii="Arial" w:hAnsi="Arial" w:cs="Arial"/>
          <w:color w:val="000000" w:themeColor="text1"/>
          <w:spacing w:val="-5"/>
          <w:sz w:val="24"/>
          <w:szCs w:val="24"/>
        </w:rPr>
        <w:t xml:space="preserve"> </w:t>
      </w:r>
      <w:r w:rsidR="00D256DA" w:rsidRPr="008B5DD4">
        <w:rPr>
          <w:rFonts w:ascii="Arial" w:hAnsi="Arial" w:cs="Arial"/>
          <w:color w:val="000000" w:themeColor="text1"/>
          <w:sz w:val="24"/>
          <w:szCs w:val="24"/>
        </w:rPr>
        <w:t>if—</w:t>
      </w:r>
    </w:p>
    <w:p w14:paraId="20BF220F" w14:textId="77777777" w:rsidR="00D256DA" w:rsidRPr="00A319C2" w:rsidRDefault="00D256DA"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p>
    <w:p w14:paraId="5F8A6400" w14:textId="47676BD6" w:rsidR="00D256DA" w:rsidRPr="00A319C2" w:rsidRDefault="008B5DD4"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each of them meets the basic conditions,</w:t>
      </w:r>
      <w:r w:rsidR="00D256DA" w:rsidRPr="00A319C2">
        <w:rPr>
          <w:rFonts w:ascii="Arial" w:hAnsi="Arial" w:cs="Arial"/>
          <w:color w:val="000000" w:themeColor="text1"/>
          <w:spacing w:val="-2"/>
          <w:sz w:val="24"/>
          <w:szCs w:val="24"/>
        </w:rPr>
        <w:t xml:space="preserve"> </w:t>
      </w:r>
      <w:r w:rsidR="00D256DA" w:rsidRPr="00A319C2">
        <w:rPr>
          <w:rFonts w:ascii="Arial" w:hAnsi="Arial" w:cs="Arial"/>
          <w:color w:val="000000" w:themeColor="text1"/>
          <w:sz w:val="24"/>
          <w:szCs w:val="24"/>
        </w:rPr>
        <w:t>and</w:t>
      </w:r>
    </w:p>
    <w:p w14:paraId="5B2B49F0" w14:textId="77777777" w:rsidR="00D256DA" w:rsidRPr="00A319C2" w:rsidRDefault="00D256DA"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p>
    <w:p w14:paraId="26C05248" w14:textId="7755855B" w:rsidR="00D256DA" w:rsidRPr="00A319C2" w:rsidRDefault="008B5DD4"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they meet the financial conditions for joint</w:t>
      </w:r>
      <w:r w:rsidR="00D256DA" w:rsidRPr="00A319C2">
        <w:rPr>
          <w:rFonts w:ascii="Arial" w:hAnsi="Arial" w:cs="Arial"/>
          <w:color w:val="000000" w:themeColor="text1"/>
          <w:spacing w:val="-8"/>
          <w:sz w:val="24"/>
          <w:szCs w:val="24"/>
        </w:rPr>
        <w:t xml:space="preserve"> </w:t>
      </w:r>
      <w:r w:rsidR="00D256DA" w:rsidRPr="00A319C2">
        <w:rPr>
          <w:rFonts w:ascii="Arial" w:hAnsi="Arial" w:cs="Arial"/>
          <w:color w:val="000000" w:themeColor="text1"/>
          <w:sz w:val="24"/>
          <w:szCs w:val="24"/>
        </w:rPr>
        <w:t>claimants.</w:t>
      </w:r>
    </w:p>
    <w:p w14:paraId="3B2162AF"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0AD394D7"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r w:rsidRPr="00A319C2">
        <w:rPr>
          <w:rFonts w:ascii="Arial" w:hAnsi="Arial" w:cs="Arial"/>
          <w:color w:val="000000" w:themeColor="text1"/>
          <w:sz w:val="24"/>
          <w:szCs w:val="24"/>
        </w:rPr>
        <w:t>10.</w:t>
      </w:r>
      <w:r w:rsidRPr="00A319C2">
        <w:rPr>
          <w:rFonts w:ascii="Arial" w:hAnsi="Arial" w:cs="Arial"/>
          <w:color w:val="000000" w:themeColor="text1"/>
          <w:sz w:val="24"/>
          <w:szCs w:val="24"/>
        </w:rPr>
        <w:tab/>
        <w:t>By article 10 of the Order:</w:t>
      </w:r>
    </w:p>
    <w:p w14:paraId="7201B799" w14:textId="77777777" w:rsidR="00D256DA" w:rsidRPr="00A319C2" w:rsidRDefault="00D256DA" w:rsidP="007E3119">
      <w:pPr>
        <w:tabs>
          <w:tab w:val="left" w:pos="510"/>
          <w:tab w:val="left" w:pos="1077"/>
          <w:tab w:val="left" w:pos="1797"/>
        </w:tabs>
        <w:spacing w:after="0" w:line="240" w:lineRule="auto"/>
        <w:rPr>
          <w:rFonts w:ascii="Arial" w:hAnsi="Arial" w:cs="Arial"/>
          <w:color w:val="000000" w:themeColor="text1"/>
          <w:sz w:val="24"/>
          <w:szCs w:val="24"/>
        </w:rPr>
      </w:pPr>
    </w:p>
    <w:p w14:paraId="46ED4AF6" w14:textId="7F2FCC9E" w:rsidR="00D256DA" w:rsidRPr="008B5DD4" w:rsidRDefault="008B5DD4" w:rsidP="007E3119">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proofErr w:type="gramStart"/>
      <w:r w:rsidR="00D256DA" w:rsidRPr="008B5DD4">
        <w:rPr>
          <w:rFonts w:ascii="Arial" w:hAnsi="Arial" w:cs="Arial"/>
          <w:color w:val="000000" w:themeColor="text1"/>
          <w:sz w:val="24"/>
          <w:szCs w:val="24"/>
        </w:rPr>
        <w:t>… ,</w:t>
      </w:r>
      <w:proofErr w:type="gramEnd"/>
      <w:r w:rsidR="00D256DA" w:rsidRPr="008B5DD4">
        <w:rPr>
          <w:rFonts w:ascii="Arial" w:hAnsi="Arial" w:cs="Arial"/>
          <w:color w:val="000000" w:themeColor="text1"/>
          <w:sz w:val="24"/>
          <w:szCs w:val="24"/>
        </w:rPr>
        <w:t xml:space="preserve"> the financial conditions for joint claimants are</w:t>
      </w:r>
      <w:r w:rsidR="00D256DA" w:rsidRPr="008B5DD4">
        <w:rPr>
          <w:rFonts w:ascii="Arial" w:hAnsi="Arial" w:cs="Arial"/>
          <w:color w:val="000000" w:themeColor="text1"/>
          <w:spacing w:val="-4"/>
          <w:sz w:val="24"/>
          <w:szCs w:val="24"/>
        </w:rPr>
        <w:t xml:space="preserve"> </w:t>
      </w:r>
      <w:r w:rsidR="00D256DA" w:rsidRPr="008B5DD4">
        <w:rPr>
          <w:rFonts w:ascii="Arial" w:hAnsi="Arial" w:cs="Arial"/>
          <w:color w:val="000000" w:themeColor="text1"/>
          <w:sz w:val="24"/>
          <w:szCs w:val="24"/>
        </w:rPr>
        <w:t>that—</w:t>
      </w:r>
    </w:p>
    <w:p w14:paraId="1861AC3E" w14:textId="77777777" w:rsidR="00D256DA" w:rsidRPr="00A319C2" w:rsidRDefault="00D256DA"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p>
    <w:p w14:paraId="76197713" w14:textId="73A43FA6" w:rsidR="00D256DA" w:rsidRPr="008B5DD4" w:rsidRDefault="008B5DD4" w:rsidP="007E3119">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8B5DD4">
        <w:rPr>
          <w:rFonts w:ascii="Arial" w:hAnsi="Arial" w:cs="Arial"/>
          <w:color w:val="000000" w:themeColor="text1"/>
          <w:sz w:val="24"/>
          <w:szCs w:val="24"/>
        </w:rPr>
        <w:t xml:space="preserve"> …</w:t>
      </w:r>
    </w:p>
    <w:p w14:paraId="49FA08B7" w14:textId="77777777" w:rsidR="00D256DA" w:rsidRPr="00A319C2" w:rsidRDefault="00D256DA" w:rsidP="007E3119">
      <w:pPr>
        <w:pStyle w:val="ListParagraph"/>
        <w:tabs>
          <w:tab w:val="left" w:pos="510"/>
          <w:tab w:val="left" w:pos="1077"/>
          <w:tab w:val="left" w:pos="1797"/>
        </w:tabs>
        <w:spacing w:before="0"/>
        <w:ind w:left="0" w:firstLine="0"/>
        <w:rPr>
          <w:rFonts w:ascii="Arial" w:hAnsi="Arial" w:cs="Arial"/>
          <w:color w:val="000000" w:themeColor="text1"/>
          <w:sz w:val="24"/>
          <w:szCs w:val="24"/>
        </w:rPr>
      </w:pPr>
    </w:p>
    <w:p w14:paraId="182D3537" w14:textId="7E5CDEE9" w:rsidR="00D256DA" w:rsidRPr="008B5DD4" w:rsidRDefault="008B5DD4" w:rsidP="007E3119">
      <w:pPr>
        <w:tabs>
          <w:tab w:val="left" w:pos="510"/>
          <w:tab w:val="left" w:pos="1077"/>
          <w:tab w:val="left" w:pos="1797"/>
        </w:tabs>
        <w:spacing w:after="0" w:line="240" w:lineRule="auto"/>
        <w:ind w:left="1797" w:hanging="1797"/>
        <w:rPr>
          <w:rFonts w:ascii="Arial" w:hAnsi="Arial" w:cs="Arial"/>
          <w:color w:val="000000" w:themeColor="text1"/>
          <w:sz w:val="24"/>
          <w:szCs w:val="24"/>
        </w:rPr>
      </w:pPr>
      <w:r>
        <w:rPr>
          <w:rFonts w:ascii="Arial" w:hAnsi="Arial" w:cs="Arial"/>
          <w:color w:val="000000" w:themeColor="text1"/>
          <w:sz w:val="24"/>
          <w:szCs w:val="24"/>
        </w:rPr>
        <w:lastRenderedPageBreak/>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8B5DD4">
        <w:rPr>
          <w:rFonts w:ascii="Arial" w:hAnsi="Arial" w:cs="Arial"/>
          <w:color w:val="000000" w:themeColor="text1"/>
          <w:sz w:val="24"/>
          <w:szCs w:val="24"/>
        </w:rPr>
        <w:t>their combined income is such that, if they were entitled to universal credit, the amount payable would not be less than any prescribed</w:t>
      </w:r>
      <w:r w:rsidR="00D256DA" w:rsidRPr="008B5DD4">
        <w:rPr>
          <w:rFonts w:ascii="Arial" w:hAnsi="Arial" w:cs="Arial"/>
          <w:color w:val="000000" w:themeColor="text1"/>
          <w:spacing w:val="-5"/>
          <w:sz w:val="24"/>
          <w:szCs w:val="24"/>
        </w:rPr>
        <w:t xml:space="preserve"> </w:t>
      </w:r>
      <w:r w:rsidR="00D256DA" w:rsidRPr="008B5DD4">
        <w:rPr>
          <w:rFonts w:ascii="Arial" w:hAnsi="Arial" w:cs="Arial"/>
          <w:color w:val="000000" w:themeColor="text1"/>
          <w:sz w:val="24"/>
          <w:szCs w:val="24"/>
        </w:rPr>
        <w:t>minimum.</w:t>
      </w:r>
    </w:p>
    <w:p w14:paraId="504205DB" w14:textId="77777777" w:rsidR="00512FED" w:rsidRPr="00A319C2" w:rsidRDefault="00512FED" w:rsidP="007E3119">
      <w:pPr>
        <w:tabs>
          <w:tab w:val="left" w:pos="510"/>
          <w:tab w:val="left" w:pos="1077"/>
          <w:tab w:val="left" w:pos="1797"/>
        </w:tabs>
        <w:spacing w:after="0" w:line="240" w:lineRule="auto"/>
        <w:jc w:val="both"/>
        <w:rPr>
          <w:rFonts w:ascii="Arial" w:hAnsi="Arial" w:cs="Arial"/>
          <w:color w:val="000000" w:themeColor="text1"/>
          <w:sz w:val="24"/>
          <w:szCs w:val="24"/>
        </w:rPr>
      </w:pPr>
    </w:p>
    <w:p w14:paraId="0FE78398" w14:textId="77777777" w:rsidR="00D256DA" w:rsidRPr="00A319C2" w:rsidRDefault="00D256DA" w:rsidP="007E3119">
      <w:pPr>
        <w:tabs>
          <w:tab w:val="left" w:pos="510"/>
          <w:tab w:val="left" w:pos="1077"/>
          <w:tab w:val="left" w:pos="1797"/>
        </w:tabs>
        <w:spacing w:after="0" w:line="240" w:lineRule="auto"/>
        <w:jc w:val="both"/>
        <w:rPr>
          <w:rFonts w:ascii="Arial" w:hAnsi="Arial" w:cs="Arial"/>
          <w:color w:val="000000" w:themeColor="text1"/>
          <w:sz w:val="24"/>
          <w:szCs w:val="24"/>
        </w:rPr>
      </w:pPr>
      <w:r w:rsidRPr="00A319C2">
        <w:rPr>
          <w:rFonts w:ascii="Arial" w:hAnsi="Arial" w:cs="Arial"/>
          <w:color w:val="000000" w:themeColor="text1"/>
          <w:sz w:val="24"/>
          <w:szCs w:val="24"/>
        </w:rPr>
        <w:t>11.</w:t>
      </w:r>
      <w:r w:rsidRPr="00A319C2">
        <w:rPr>
          <w:rFonts w:ascii="Arial" w:hAnsi="Arial" w:cs="Arial"/>
          <w:color w:val="000000" w:themeColor="text1"/>
          <w:sz w:val="24"/>
          <w:szCs w:val="24"/>
        </w:rPr>
        <w:tab/>
        <w:t>By article 12 of the Order:</w:t>
      </w:r>
    </w:p>
    <w:p w14:paraId="3FB01A50" w14:textId="77777777" w:rsidR="00D256DA" w:rsidRPr="00A319C2" w:rsidRDefault="00D256DA" w:rsidP="007E3119">
      <w:pPr>
        <w:pStyle w:val="ListParagraph"/>
        <w:tabs>
          <w:tab w:val="left" w:pos="1077"/>
          <w:tab w:val="left" w:pos="1797"/>
        </w:tabs>
        <w:spacing w:before="0"/>
        <w:ind w:left="0" w:firstLine="0"/>
        <w:jc w:val="both"/>
        <w:rPr>
          <w:rFonts w:ascii="Arial" w:hAnsi="Arial" w:cs="Arial"/>
          <w:color w:val="000000" w:themeColor="text1"/>
          <w:sz w:val="24"/>
          <w:szCs w:val="24"/>
        </w:rPr>
      </w:pPr>
    </w:p>
    <w:p w14:paraId="61EE3C76" w14:textId="04110EF2" w:rsidR="00D256DA" w:rsidRPr="00A319C2" w:rsidRDefault="00C50724"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r>
        <w:rPr>
          <w:rFonts w:ascii="Arial" w:hAnsi="Arial" w:cs="Arial"/>
          <w:color w:val="000000" w:themeColor="text1"/>
          <w:sz w:val="24"/>
          <w:szCs w:val="24"/>
        </w:rPr>
        <w:tab/>
        <w:t>(1)</w:t>
      </w:r>
      <w:r>
        <w:rPr>
          <w:rFonts w:ascii="Arial" w:hAnsi="Arial" w:cs="Arial"/>
          <w:color w:val="000000" w:themeColor="text1"/>
          <w:sz w:val="24"/>
          <w:szCs w:val="24"/>
        </w:rPr>
        <w:tab/>
      </w:r>
      <w:r w:rsidR="00D256DA" w:rsidRPr="00A319C2">
        <w:rPr>
          <w:rFonts w:ascii="Arial" w:hAnsi="Arial" w:cs="Arial"/>
          <w:color w:val="000000" w:themeColor="text1"/>
          <w:sz w:val="24"/>
          <w:szCs w:val="24"/>
        </w:rPr>
        <w:t>Universal credit is payable in respect of each complete assessment</w:t>
      </w:r>
      <w:r w:rsidR="00D256DA" w:rsidRPr="00A319C2">
        <w:rPr>
          <w:rFonts w:ascii="Arial" w:hAnsi="Arial" w:cs="Arial"/>
          <w:color w:val="000000" w:themeColor="text1"/>
          <w:spacing w:val="38"/>
          <w:sz w:val="24"/>
          <w:szCs w:val="24"/>
        </w:rPr>
        <w:t xml:space="preserve"> </w:t>
      </w:r>
      <w:r w:rsidR="00D256DA" w:rsidRPr="00A319C2">
        <w:rPr>
          <w:rFonts w:ascii="Arial" w:hAnsi="Arial" w:cs="Arial"/>
          <w:color w:val="000000" w:themeColor="text1"/>
          <w:sz w:val="24"/>
          <w:szCs w:val="24"/>
        </w:rPr>
        <w:t>period within a period of</w:t>
      </w:r>
      <w:r w:rsidR="00D256DA" w:rsidRPr="00A319C2">
        <w:rPr>
          <w:rFonts w:ascii="Arial" w:hAnsi="Arial" w:cs="Arial"/>
          <w:color w:val="000000" w:themeColor="text1"/>
          <w:spacing w:val="-3"/>
          <w:sz w:val="24"/>
          <w:szCs w:val="24"/>
        </w:rPr>
        <w:t xml:space="preserve"> </w:t>
      </w:r>
      <w:r w:rsidR="00D256DA" w:rsidRPr="00A319C2">
        <w:rPr>
          <w:rFonts w:ascii="Arial" w:hAnsi="Arial" w:cs="Arial"/>
          <w:color w:val="000000" w:themeColor="text1"/>
          <w:sz w:val="24"/>
          <w:szCs w:val="24"/>
        </w:rPr>
        <w:t>entitlement.</w:t>
      </w:r>
    </w:p>
    <w:p w14:paraId="0B926D10" w14:textId="77777777" w:rsidR="00D256DA" w:rsidRPr="00A319C2" w:rsidRDefault="00D256DA"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p>
    <w:p w14:paraId="0B6EAB66" w14:textId="643AFBE5" w:rsidR="00D256DA" w:rsidRPr="00A319C2" w:rsidRDefault="00C50724"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r w:rsidR="00D256DA" w:rsidRPr="00A319C2">
        <w:rPr>
          <w:rFonts w:ascii="Arial" w:hAnsi="Arial" w:cs="Arial"/>
          <w:color w:val="000000" w:themeColor="text1"/>
          <w:sz w:val="24"/>
          <w:szCs w:val="24"/>
        </w:rPr>
        <w:t>In this Part an “assessment period” is a period of a prescribed</w:t>
      </w:r>
      <w:r w:rsidR="00D256DA" w:rsidRPr="00A319C2">
        <w:rPr>
          <w:rFonts w:ascii="Arial" w:hAnsi="Arial" w:cs="Arial"/>
          <w:color w:val="000000" w:themeColor="text1"/>
          <w:spacing w:val="-6"/>
          <w:sz w:val="24"/>
          <w:szCs w:val="24"/>
        </w:rPr>
        <w:t xml:space="preserve"> </w:t>
      </w:r>
      <w:r w:rsidR="00D256DA" w:rsidRPr="00A319C2">
        <w:rPr>
          <w:rFonts w:ascii="Arial" w:hAnsi="Arial" w:cs="Arial"/>
          <w:color w:val="000000" w:themeColor="text1"/>
          <w:sz w:val="24"/>
          <w:szCs w:val="24"/>
        </w:rPr>
        <w:t>duration.</w:t>
      </w:r>
    </w:p>
    <w:p w14:paraId="2FB21E74" w14:textId="77777777" w:rsidR="00D256DA" w:rsidRPr="00A319C2" w:rsidRDefault="00D256DA"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p>
    <w:p w14:paraId="5F471D08" w14:textId="04333EFE" w:rsidR="00D256DA" w:rsidRPr="00A319C2" w:rsidRDefault="00C50724"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r>
        <w:rPr>
          <w:rFonts w:ascii="Arial" w:hAnsi="Arial" w:cs="Arial"/>
          <w:color w:val="000000" w:themeColor="text1"/>
          <w:sz w:val="24"/>
          <w:szCs w:val="24"/>
        </w:rPr>
        <w:tab/>
        <w:t>(3)</w:t>
      </w:r>
      <w:r>
        <w:rPr>
          <w:rFonts w:ascii="Arial" w:hAnsi="Arial" w:cs="Arial"/>
          <w:color w:val="000000" w:themeColor="text1"/>
          <w:sz w:val="24"/>
          <w:szCs w:val="24"/>
        </w:rPr>
        <w:tab/>
      </w:r>
      <w:r w:rsidR="00D256DA" w:rsidRPr="00A319C2">
        <w:rPr>
          <w:rFonts w:ascii="Arial" w:hAnsi="Arial" w:cs="Arial"/>
          <w:color w:val="000000" w:themeColor="text1"/>
          <w:sz w:val="24"/>
          <w:szCs w:val="24"/>
        </w:rPr>
        <w:t>Regulations may make</w:t>
      </w:r>
      <w:r w:rsidR="00D256DA" w:rsidRPr="00A319C2">
        <w:rPr>
          <w:rFonts w:ascii="Arial" w:hAnsi="Arial" w:cs="Arial"/>
          <w:color w:val="000000" w:themeColor="text1"/>
          <w:spacing w:val="-6"/>
          <w:sz w:val="24"/>
          <w:szCs w:val="24"/>
        </w:rPr>
        <w:t xml:space="preserve"> </w:t>
      </w:r>
      <w:r w:rsidR="00D256DA" w:rsidRPr="00A319C2">
        <w:rPr>
          <w:rFonts w:ascii="Arial" w:hAnsi="Arial" w:cs="Arial"/>
          <w:color w:val="000000" w:themeColor="text1"/>
          <w:sz w:val="24"/>
          <w:szCs w:val="24"/>
        </w:rPr>
        <w:t>provision—</w:t>
      </w:r>
    </w:p>
    <w:p w14:paraId="4631B464" w14:textId="77777777" w:rsidR="00D256DA" w:rsidRPr="00A319C2" w:rsidRDefault="00D256DA"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p>
    <w:p w14:paraId="7BE23D29" w14:textId="5A514AED" w:rsidR="00D256DA" w:rsidRPr="00A319C2" w:rsidRDefault="00C50724" w:rsidP="007E3119">
      <w:pPr>
        <w:pStyle w:val="ListParagraph"/>
        <w:tabs>
          <w:tab w:val="left" w:pos="397"/>
          <w:tab w:val="left" w:pos="964"/>
          <w:tab w:val="left" w:pos="1797"/>
        </w:tabs>
        <w:spacing w:before="0"/>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about when an assessment period is to</w:t>
      </w:r>
      <w:r w:rsidR="00D256DA" w:rsidRPr="00A319C2">
        <w:rPr>
          <w:rFonts w:ascii="Arial" w:hAnsi="Arial" w:cs="Arial"/>
          <w:color w:val="000000" w:themeColor="text1"/>
          <w:spacing w:val="1"/>
          <w:sz w:val="24"/>
          <w:szCs w:val="24"/>
        </w:rPr>
        <w:t xml:space="preserve"> </w:t>
      </w:r>
      <w:proofErr w:type="gramStart"/>
      <w:r w:rsidR="00D256DA" w:rsidRPr="00A319C2">
        <w:rPr>
          <w:rFonts w:ascii="Arial" w:hAnsi="Arial" w:cs="Arial"/>
          <w:color w:val="000000" w:themeColor="text1"/>
          <w:sz w:val="24"/>
          <w:szCs w:val="24"/>
        </w:rPr>
        <w:t>start;</w:t>
      </w:r>
      <w:proofErr w:type="gramEnd"/>
    </w:p>
    <w:p w14:paraId="3151501F" w14:textId="77777777" w:rsidR="00D256DA" w:rsidRPr="00A319C2" w:rsidRDefault="00D256DA" w:rsidP="007E3119">
      <w:pPr>
        <w:pStyle w:val="ListParagraph"/>
        <w:tabs>
          <w:tab w:val="left" w:pos="397"/>
          <w:tab w:val="left" w:pos="964"/>
          <w:tab w:val="left" w:pos="1797"/>
        </w:tabs>
        <w:spacing w:before="0"/>
        <w:ind w:left="1797" w:hanging="1797"/>
        <w:jc w:val="both"/>
        <w:rPr>
          <w:rFonts w:ascii="Arial" w:hAnsi="Arial" w:cs="Arial"/>
          <w:color w:val="000000" w:themeColor="text1"/>
          <w:sz w:val="24"/>
          <w:szCs w:val="24"/>
        </w:rPr>
      </w:pPr>
    </w:p>
    <w:p w14:paraId="177B836A" w14:textId="6E98C2DB" w:rsidR="00D256DA" w:rsidRPr="00A319C2" w:rsidRDefault="00C50724" w:rsidP="007E3119">
      <w:pPr>
        <w:pStyle w:val="ListParagraph"/>
        <w:tabs>
          <w:tab w:val="left" w:pos="397"/>
          <w:tab w:val="left" w:pos="964"/>
          <w:tab w:val="left" w:pos="1797"/>
        </w:tabs>
        <w:spacing w:before="0"/>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for universal credit to be payable in respect of a period shorter than an assessment </w:t>
      </w:r>
      <w:proofErr w:type="gramStart"/>
      <w:r w:rsidR="00D256DA" w:rsidRPr="00A319C2">
        <w:rPr>
          <w:rFonts w:ascii="Arial" w:hAnsi="Arial" w:cs="Arial"/>
          <w:color w:val="000000" w:themeColor="text1"/>
          <w:sz w:val="24"/>
          <w:szCs w:val="24"/>
        </w:rPr>
        <w:t>period;</w:t>
      </w:r>
      <w:proofErr w:type="gramEnd"/>
    </w:p>
    <w:p w14:paraId="786D3E4A" w14:textId="77777777" w:rsidR="00D256DA" w:rsidRPr="00A319C2" w:rsidRDefault="00D256DA" w:rsidP="007E3119">
      <w:pPr>
        <w:pStyle w:val="ListParagraph"/>
        <w:tabs>
          <w:tab w:val="left" w:pos="397"/>
          <w:tab w:val="left" w:pos="964"/>
          <w:tab w:val="left" w:pos="1797"/>
        </w:tabs>
        <w:spacing w:before="0"/>
        <w:ind w:left="1797" w:hanging="1797"/>
        <w:jc w:val="both"/>
        <w:rPr>
          <w:rFonts w:ascii="Arial" w:hAnsi="Arial" w:cs="Arial"/>
          <w:color w:val="000000" w:themeColor="text1"/>
          <w:sz w:val="24"/>
          <w:szCs w:val="24"/>
        </w:rPr>
      </w:pPr>
    </w:p>
    <w:p w14:paraId="11FB9359" w14:textId="624C374D" w:rsidR="00D256DA" w:rsidRPr="00A319C2" w:rsidRDefault="00C50724" w:rsidP="007E3119">
      <w:pPr>
        <w:pStyle w:val="ListParagraph"/>
        <w:tabs>
          <w:tab w:val="left" w:pos="397"/>
          <w:tab w:val="left" w:pos="964"/>
          <w:tab w:val="left" w:pos="1797"/>
        </w:tabs>
        <w:spacing w:before="0"/>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(c)</w:t>
      </w:r>
      <w:r>
        <w:rPr>
          <w:rFonts w:ascii="Arial" w:hAnsi="Arial" w:cs="Arial"/>
          <w:color w:val="000000" w:themeColor="text1"/>
          <w:sz w:val="24"/>
          <w:szCs w:val="24"/>
        </w:rPr>
        <w:tab/>
      </w:r>
      <w:r w:rsidR="00D256DA" w:rsidRPr="00A319C2">
        <w:rPr>
          <w:rFonts w:ascii="Arial" w:hAnsi="Arial" w:cs="Arial"/>
          <w:color w:val="000000" w:themeColor="text1"/>
          <w:sz w:val="24"/>
          <w:szCs w:val="24"/>
        </w:rPr>
        <w:t>about the amount payable in respect of a period shorter than an assessment</w:t>
      </w:r>
      <w:r w:rsidR="00D256DA" w:rsidRPr="00A319C2">
        <w:rPr>
          <w:rFonts w:ascii="Arial" w:hAnsi="Arial" w:cs="Arial"/>
          <w:color w:val="000000" w:themeColor="text1"/>
          <w:spacing w:val="-10"/>
          <w:sz w:val="24"/>
          <w:szCs w:val="24"/>
        </w:rPr>
        <w:t xml:space="preserve"> </w:t>
      </w:r>
      <w:r w:rsidR="00D256DA" w:rsidRPr="00A319C2">
        <w:rPr>
          <w:rFonts w:ascii="Arial" w:hAnsi="Arial" w:cs="Arial"/>
          <w:color w:val="000000" w:themeColor="text1"/>
          <w:sz w:val="24"/>
          <w:szCs w:val="24"/>
        </w:rPr>
        <w:t>period.</w:t>
      </w:r>
    </w:p>
    <w:p w14:paraId="7B50778C" w14:textId="77777777" w:rsidR="00D256DA" w:rsidRPr="00A319C2" w:rsidRDefault="00D256DA"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p>
    <w:p w14:paraId="59073B3B" w14:textId="4E1C941E" w:rsidR="00D256DA" w:rsidRPr="00A319C2" w:rsidRDefault="00C50724" w:rsidP="007E3119">
      <w:pPr>
        <w:pStyle w:val="ListParagraph"/>
        <w:tabs>
          <w:tab w:val="left" w:pos="397"/>
          <w:tab w:val="left" w:pos="964"/>
          <w:tab w:val="left" w:pos="1797"/>
        </w:tabs>
        <w:spacing w:before="0"/>
        <w:ind w:left="964" w:hanging="964"/>
        <w:jc w:val="both"/>
        <w:rPr>
          <w:rFonts w:ascii="Arial" w:hAnsi="Arial" w:cs="Arial"/>
          <w:color w:val="000000" w:themeColor="text1"/>
          <w:sz w:val="24"/>
          <w:szCs w:val="24"/>
        </w:rPr>
      </w:pPr>
      <w:r>
        <w:rPr>
          <w:rFonts w:ascii="Arial" w:hAnsi="Arial" w:cs="Arial"/>
          <w:color w:val="000000" w:themeColor="text1"/>
          <w:sz w:val="24"/>
          <w:szCs w:val="24"/>
        </w:rPr>
        <w:tab/>
        <w:t>(4)</w:t>
      </w:r>
      <w:r>
        <w:rPr>
          <w:rFonts w:ascii="Arial" w:hAnsi="Arial" w:cs="Arial"/>
          <w:color w:val="000000" w:themeColor="text1"/>
          <w:sz w:val="24"/>
          <w:szCs w:val="24"/>
        </w:rPr>
        <w:tab/>
      </w:r>
      <w:r w:rsidR="00D256DA" w:rsidRPr="00A319C2">
        <w:rPr>
          <w:rFonts w:ascii="Arial" w:hAnsi="Arial" w:cs="Arial"/>
          <w:color w:val="000000" w:themeColor="text1"/>
          <w:sz w:val="24"/>
          <w:szCs w:val="24"/>
        </w:rPr>
        <w:t>In paragraph (1) “period of entitlement” means a period during which entitlement to universal credit</w:t>
      </w:r>
      <w:r w:rsidR="00D256DA" w:rsidRPr="00A319C2">
        <w:rPr>
          <w:rFonts w:ascii="Arial" w:hAnsi="Arial" w:cs="Arial"/>
          <w:color w:val="000000" w:themeColor="text1"/>
          <w:spacing w:val="-1"/>
          <w:sz w:val="24"/>
          <w:szCs w:val="24"/>
        </w:rPr>
        <w:t xml:space="preserve"> </w:t>
      </w:r>
      <w:r w:rsidR="00D256DA" w:rsidRPr="00A319C2">
        <w:rPr>
          <w:rFonts w:ascii="Arial" w:hAnsi="Arial" w:cs="Arial"/>
          <w:color w:val="000000" w:themeColor="text1"/>
          <w:sz w:val="24"/>
          <w:szCs w:val="24"/>
        </w:rPr>
        <w:t>subsists.</w:t>
      </w:r>
    </w:p>
    <w:p w14:paraId="05782C91" w14:textId="77777777" w:rsidR="00D256DA" w:rsidRPr="00A319C2" w:rsidRDefault="00D256DA" w:rsidP="007E3119">
      <w:pPr>
        <w:pStyle w:val="BodyText"/>
        <w:tabs>
          <w:tab w:val="left" w:pos="510"/>
          <w:tab w:val="left" w:pos="1077"/>
          <w:tab w:val="left" w:pos="1797"/>
        </w:tabs>
        <w:ind w:left="0"/>
        <w:jc w:val="both"/>
        <w:rPr>
          <w:rFonts w:ascii="Arial" w:hAnsi="Arial" w:cs="Arial"/>
          <w:color w:val="000000" w:themeColor="text1"/>
        </w:rPr>
      </w:pPr>
    </w:p>
    <w:p w14:paraId="6E5259E4" w14:textId="77777777" w:rsidR="00D256DA" w:rsidRPr="00A319C2" w:rsidRDefault="00D256DA" w:rsidP="007E3119">
      <w:pPr>
        <w:pStyle w:val="BodyText"/>
        <w:tabs>
          <w:tab w:val="left" w:pos="510"/>
          <w:tab w:val="left" w:pos="1077"/>
          <w:tab w:val="left" w:pos="1797"/>
        </w:tabs>
        <w:ind w:left="0"/>
        <w:jc w:val="both"/>
        <w:rPr>
          <w:rFonts w:ascii="Arial" w:hAnsi="Arial" w:cs="Arial"/>
          <w:color w:val="000000" w:themeColor="text1"/>
        </w:rPr>
      </w:pPr>
      <w:r w:rsidRPr="00A319C2">
        <w:rPr>
          <w:rFonts w:ascii="Arial" w:hAnsi="Arial" w:cs="Arial"/>
          <w:color w:val="000000" w:themeColor="text1"/>
        </w:rPr>
        <w:t>12.</w:t>
      </w:r>
      <w:r w:rsidRPr="00A319C2">
        <w:rPr>
          <w:rFonts w:ascii="Arial" w:hAnsi="Arial" w:cs="Arial"/>
          <w:color w:val="000000" w:themeColor="text1"/>
        </w:rPr>
        <w:tab/>
        <w:t>By article 13 of the Order:</w:t>
      </w:r>
    </w:p>
    <w:p w14:paraId="684F67E7" w14:textId="77777777" w:rsidR="00D256DA" w:rsidRPr="00A319C2" w:rsidRDefault="00D256DA" w:rsidP="007E3119">
      <w:pPr>
        <w:pStyle w:val="ListParagraph"/>
        <w:tabs>
          <w:tab w:val="left" w:pos="510"/>
          <w:tab w:val="left" w:pos="1077"/>
          <w:tab w:val="left" w:pos="1797"/>
        </w:tabs>
        <w:spacing w:before="0"/>
        <w:ind w:left="0" w:right="57" w:firstLine="0"/>
        <w:jc w:val="both"/>
        <w:rPr>
          <w:rFonts w:ascii="Arial" w:hAnsi="Arial" w:cs="Arial"/>
          <w:color w:val="000000" w:themeColor="text1"/>
          <w:sz w:val="24"/>
          <w:szCs w:val="24"/>
        </w:rPr>
      </w:pPr>
    </w:p>
    <w:p w14:paraId="4951EE4C" w14:textId="13BE877B" w:rsidR="00D256DA" w:rsidRPr="00A319C2" w:rsidRDefault="00C50724"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13.</w:t>
      </w:r>
      <w:proofErr w:type="gramStart"/>
      <w:r w:rsidR="00D256DA" w:rsidRPr="00A319C2">
        <w:rPr>
          <w:rFonts w:ascii="Arial" w:hAnsi="Arial" w:cs="Arial"/>
          <w:color w:val="000000" w:themeColor="text1"/>
          <w:sz w:val="24"/>
          <w:szCs w:val="24"/>
        </w:rPr>
        <w:t>—(</w:t>
      </w:r>
      <w:proofErr w:type="gramEnd"/>
      <w:r w:rsidR="00D256DA" w:rsidRPr="00A319C2">
        <w:rPr>
          <w:rFonts w:ascii="Arial" w:hAnsi="Arial" w:cs="Arial"/>
          <w:color w:val="000000" w:themeColor="text1"/>
          <w:sz w:val="24"/>
          <w:szCs w:val="24"/>
        </w:rPr>
        <w:t>1) The amount of an award of universal credit is to be the balance</w:t>
      </w:r>
      <w:r w:rsidR="00D256DA" w:rsidRPr="00A319C2">
        <w:rPr>
          <w:rFonts w:ascii="Arial" w:hAnsi="Arial" w:cs="Arial"/>
          <w:color w:val="000000" w:themeColor="text1"/>
          <w:spacing w:val="-6"/>
          <w:sz w:val="24"/>
          <w:szCs w:val="24"/>
        </w:rPr>
        <w:t xml:space="preserve"> </w:t>
      </w:r>
      <w:r w:rsidR="00D256DA" w:rsidRPr="00A319C2">
        <w:rPr>
          <w:rFonts w:ascii="Arial" w:hAnsi="Arial" w:cs="Arial"/>
          <w:color w:val="000000" w:themeColor="text1"/>
          <w:sz w:val="24"/>
          <w:szCs w:val="24"/>
        </w:rPr>
        <w:t>of—</w:t>
      </w:r>
    </w:p>
    <w:p w14:paraId="672FAA3B"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2AA2845C" w14:textId="1D170EEB" w:rsidR="00D256DA" w:rsidRPr="00A319C2" w:rsidRDefault="006B1105"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the maximum amount (see paragraph (2)),</w:t>
      </w:r>
      <w:r w:rsidR="00D256DA" w:rsidRPr="00A319C2">
        <w:rPr>
          <w:rFonts w:ascii="Arial" w:hAnsi="Arial" w:cs="Arial"/>
          <w:color w:val="000000" w:themeColor="text1"/>
          <w:spacing w:val="-2"/>
          <w:sz w:val="24"/>
          <w:szCs w:val="24"/>
        </w:rPr>
        <w:t xml:space="preserve"> </w:t>
      </w:r>
      <w:r w:rsidR="00D256DA" w:rsidRPr="00A319C2">
        <w:rPr>
          <w:rFonts w:ascii="Arial" w:hAnsi="Arial" w:cs="Arial"/>
          <w:color w:val="000000" w:themeColor="text1"/>
          <w:sz w:val="24"/>
          <w:szCs w:val="24"/>
        </w:rPr>
        <w:t>less</w:t>
      </w:r>
    </w:p>
    <w:p w14:paraId="37BC789E"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546C0BE8" w14:textId="6F737D85" w:rsidR="00D256DA" w:rsidRPr="00A319C2" w:rsidRDefault="006B1105"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the amounts to be deducted (see paragraph</w:t>
      </w:r>
      <w:r w:rsidR="00D256DA" w:rsidRPr="00A319C2">
        <w:rPr>
          <w:rFonts w:ascii="Arial" w:hAnsi="Arial" w:cs="Arial"/>
          <w:color w:val="000000" w:themeColor="text1"/>
          <w:spacing w:val="-3"/>
          <w:sz w:val="24"/>
          <w:szCs w:val="24"/>
        </w:rPr>
        <w:t xml:space="preserve"> </w:t>
      </w:r>
      <w:r w:rsidR="00D256DA" w:rsidRPr="00A319C2">
        <w:rPr>
          <w:rFonts w:ascii="Arial" w:hAnsi="Arial" w:cs="Arial"/>
          <w:color w:val="000000" w:themeColor="text1"/>
          <w:sz w:val="24"/>
          <w:szCs w:val="24"/>
        </w:rPr>
        <w:t>(3)).</w:t>
      </w:r>
    </w:p>
    <w:p w14:paraId="50119A33"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4E5564FA" w14:textId="3CA35B6A" w:rsidR="00D256DA" w:rsidRPr="00A319C2" w:rsidRDefault="006B1105"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(2) The maximum amount is the total of-</w:t>
      </w:r>
    </w:p>
    <w:p w14:paraId="3D0FAB7A"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1D324D4D" w14:textId="0B98EF2D"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any amount included under Article 14 (standard</w:t>
      </w:r>
      <w:r w:rsidR="00D256DA" w:rsidRPr="00A319C2">
        <w:rPr>
          <w:rFonts w:ascii="Arial" w:hAnsi="Arial" w:cs="Arial"/>
          <w:color w:val="000000" w:themeColor="text1"/>
          <w:spacing w:val="-1"/>
          <w:sz w:val="24"/>
          <w:szCs w:val="24"/>
        </w:rPr>
        <w:t xml:space="preserve"> </w:t>
      </w:r>
      <w:r w:rsidR="00D256DA" w:rsidRPr="00A319C2">
        <w:rPr>
          <w:rFonts w:ascii="Arial" w:hAnsi="Arial" w:cs="Arial"/>
          <w:color w:val="000000" w:themeColor="text1"/>
          <w:sz w:val="24"/>
          <w:szCs w:val="24"/>
        </w:rPr>
        <w:t>allowance),</w:t>
      </w:r>
    </w:p>
    <w:p w14:paraId="2DCC3E9E"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0F8AFD5B" w14:textId="360EE48E"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any amount included under Article 15 (responsibility for children and young persons),</w:t>
      </w:r>
    </w:p>
    <w:p w14:paraId="62264A3F"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71FB49F2" w14:textId="6EA940E2"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(c)</w:t>
      </w:r>
      <w:r>
        <w:rPr>
          <w:rFonts w:ascii="Arial" w:hAnsi="Arial" w:cs="Arial"/>
          <w:color w:val="000000" w:themeColor="text1"/>
          <w:sz w:val="24"/>
          <w:szCs w:val="24"/>
        </w:rPr>
        <w:tab/>
      </w:r>
      <w:r w:rsidR="00D256DA" w:rsidRPr="00A319C2">
        <w:rPr>
          <w:rFonts w:ascii="Arial" w:hAnsi="Arial" w:cs="Arial"/>
          <w:color w:val="000000" w:themeColor="text1"/>
          <w:sz w:val="24"/>
          <w:szCs w:val="24"/>
        </w:rPr>
        <w:t>any amount included under Article 16 (housing costs),</w:t>
      </w:r>
      <w:r w:rsidR="00D256DA" w:rsidRPr="00A319C2">
        <w:rPr>
          <w:rFonts w:ascii="Arial" w:hAnsi="Arial" w:cs="Arial"/>
          <w:color w:val="000000" w:themeColor="text1"/>
          <w:spacing w:val="-2"/>
          <w:sz w:val="24"/>
          <w:szCs w:val="24"/>
        </w:rPr>
        <w:t xml:space="preserve"> </w:t>
      </w:r>
      <w:r w:rsidR="00D256DA" w:rsidRPr="00A319C2">
        <w:rPr>
          <w:rFonts w:ascii="Arial" w:hAnsi="Arial" w:cs="Arial"/>
          <w:color w:val="000000" w:themeColor="text1"/>
          <w:sz w:val="24"/>
          <w:szCs w:val="24"/>
        </w:rPr>
        <w:t>and</w:t>
      </w:r>
    </w:p>
    <w:p w14:paraId="5050BACE"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441B4E46" w14:textId="3E97F35F"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(d)</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any amount included under Article 17 (other </w:t>
      </w:r>
      <w:proofErr w:type="gramStart"/>
      <w:r w:rsidR="00D256DA" w:rsidRPr="00A319C2">
        <w:rPr>
          <w:rFonts w:ascii="Arial" w:hAnsi="Arial" w:cs="Arial"/>
          <w:color w:val="000000" w:themeColor="text1"/>
          <w:sz w:val="24"/>
          <w:szCs w:val="24"/>
        </w:rPr>
        <w:t>particular needs</w:t>
      </w:r>
      <w:proofErr w:type="gramEnd"/>
      <w:r w:rsidR="00D256DA" w:rsidRPr="00A319C2">
        <w:rPr>
          <w:rFonts w:ascii="Arial" w:hAnsi="Arial" w:cs="Arial"/>
          <w:color w:val="000000" w:themeColor="text1"/>
          <w:sz w:val="24"/>
          <w:szCs w:val="24"/>
        </w:rPr>
        <w:t xml:space="preserve"> or</w:t>
      </w:r>
      <w:r w:rsidR="00D256DA" w:rsidRPr="00A319C2">
        <w:rPr>
          <w:rFonts w:ascii="Arial" w:hAnsi="Arial" w:cs="Arial"/>
          <w:color w:val="000000" w:themeColor="text1"/>
          <w:spacing w:val="-8"/>
          <w:sz w:val="24"/>
          <w:szCs w:val="24"/>
        </w:rPr>
        <w:t xml:space="preserve"> </w:t>
      </w:r>
      <w:r w:rsidR="00D256DA" w:rsidRPr="00A319C2">
        <w:rPr>
          <w:rFonts w:ascii="Arial" w:hAnsi="Arial" w:cs="Arial"/>
          <w:color w:val="000000" w:themeColor="text1"/>
          <w:sz w:val="24"/>
          <w:szCs w:val="24"/>
        </w:rPr>
        <w:t>circumstances).</w:t>
      </w:r>
    </w:p>
    <w:p w14:paraId="66969A4F"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3AAAC275" w14:textId="467EF7C0" w:rsidR="00D256DA" w:rsidRPr="00A319C2" w:rsidRDefault="006B1105"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t>(3)</w:t>
      </w:r>
      <w:r>
        <w:rPr>
          <w:rFonts w:ascii="Arial" w:hAnsi="Arial" w:cs="Arial"/>
          <w:color w:val="000000" w:themeColor="text1"/>
          <w:sz w:val="24"/>
          <w:szCs w:val="24"/>
        </w:rPr>
        <w:tab/>
      </w:r>
      <w:r w:rsidR="00D256DA" w:rsidRPr="00A319C2">
        <w:rPr>
          <w:rFonts w:ascii="Arial" w:hAnsi="Arial" w:cs="Arial"/>
          <w:color w:val="000000" w:themeColor="text1"/>
          <w:sz w:val="24"/>
          <w:szCs w:val="24"/>
        </w:rPr>
        <w:t>The amounts to be deducted</w:t>
      </w:r>
      <w:r w:rsidR="00D256DA" w:rsidRPr="00A319C2">
        <w:rPr>
          <w:rFonts w:ascii="Arial" w:hAnsi="Arial" w:cs="Arial"/>
          <w:color w:val="000000" w:themeColor="text1"/>
          <w:spacing w:val="-4"/>
          <w:sz w:val="24"/>
          <w:szCs w:val="24"/>
        </w:rPr>
        <w:t xml:space="preserve"> </w:t>
      </w:r>
      <w:r w:rsidR="00D256DA" w:rsidRPr="00A319C2">
        <w:rPr>
          <w:rFonts w:ascii="Arial" w:hAnsi="Arial" w:cs="Arial"/>
          <w:color w:val="000000" w:themeColor="text1"/>
          <w:sz w:val="24"/>
          <w:szCs w:val="24"/>
        </w:rPr>
        <w:t>are—</w:t>
      </w:r>
    </w:p>
    <w:p w14:paraId="43F2E2B6"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57F042A6" w14:textId="62F78208"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an amount in respect of earned income calculated in the prescribed manner (which may include multiplying some or all earned income by a prescribed percentage), and</w:t>
      </w:r>
    </w:p>
    <w:p w14:paraId="3739AEAD"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3AEEEA8E" w14:textId="0067251D"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an amount in respect of unearned income calculated in the prescribed manner (which may include multiplying some or all unearned income by a prescribed percentage).</w:t>
      </w:r>
    </w:p>
    <w:p w14:paraId="7AA91CE7"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44C6C985" w14:textId="5EBD3A54" w:rsidR="00D256DA" w:rsidRPr="00A319C2" w:rsidRDefault="006B1105"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t>(4)</w:t>
      </w:r>
      <w:r>
        <w:rPr>
          <w:rFonts w:ascii="Arial" w:hAnsi="Arial" w:cs="Arial"/>
          <w:color w:val="000000" w:themeColor="text1"/>
          <w:sz w:val="24"/>
          <w:szCs w:val="24"/>
        </w:rPr>
        <w:tab/>
      </w:r>
      <w:r w:rsidR="00D256DA" w:rsidRPr="00A319C2">
        <w:rPr>
          <w:rFonts w:ascii="Arial" w:hAnsi="Arial" w:cs="Arial"/>
          <w:color w:val="000000" w:themeColor="text1"/>
          <w:sz w:val="24"/>
          <w:szCs w:val="24"/>
        </w:rPr>
        <w:t>In paragraph (3)(a) and (b) the references to income</w:t>
      </w:r>
      <w:r w:rsidR="00D256DA" w:rsidRPr="00A319C2">
        <w:rPr>
          <w:rFonts w:ascii="Arial" w:hAnsi="Arial" w:cs="Arial"/>
          <w:color w:val="000000" w:themeColor="text1"/>
          <w:spacing w:val="-4"/>
          <w:sz w:val="24"/>
          <w:szCs w:val="24"/>
        </w:rPr>
        <w:t xml:space="preserve"> </w:t>
      </w:r>
      <w:r w:rsidR="00D256DA" w:rsidRPr="00A319C2">
        <w:rPr>
          <w:rFonts w:ascii="Arial" w:hAnsi="Arial" w:cs="Arial"/>
          <w:color w:val="000000" w:themeColor="text1"/>
          <w:sz w:val="24"/>
          <w:szCs w:val="24"/>
        </w:rPr>
        <w:t>are—</w:t>
      </w:r>
    </w:p>
    <w:p w14:paraId="192DDA0C" w14:textId="77777777" w:rsidR="00D256DA" w:rsidRPr="00A319C2" w:rsidRDefault="00D256DA"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0F12B2F6" w14:textId="3ECF3C8E"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in the case of a single claimant, to income of the claimant,</w:t>
      </w:r>
      <w:r w:rsidR="00D256DA" w:rsidRPr="00A319C2">
        <w:rPr>
          <w:rFonts w:ascii="Arial" w:hAnsi="Arial" w:cs="Arial"/>
          <w:color w:val="000000" w:themeColor="text1"/>
          <w:spacing w:val="-7"/>
          <w:sz w:val="24"/>
          <w:szCs w:val="24"/>
        </w:rPr>
        <w:t xml:space="preserve"> </w:t>
      </w:r>
      <w:r w:rsidR="00D256DA" w:rsidRPr="00A319C2">
        <w:rPr>
          <w:rFonts w:ascii="Arial" w:hAnsi="Arial" w:cs="Arial"/>
          <w:color w:val="000000" w:themeColor="text1"/>
          <w:sz w:val="24"/>
          <w:szCs w:val="24"/>
        </w:rPr>
        <w:t>and</w:t>
      </w:r>
    </w:p>
    <w:p w14:paraId="5B684E79"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4B976042" w14:textId="5F640337" w:rsidR="00D256DA" w:rsidRPr="00A319C2" w:rsidRDefault="006B1105"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in the case of joint claimants, to combined income of the</w:t>
      </w:r>
      <w:r w:rsidR="00D256DA" w:rsidRPr="00A319C2">
        <w:rPr>
          <w:rFonts w:ascii="Arial" w:hAnsi="Arial" w:cs="Arial"/>
          <w:color w:val="000000" w:themeColor="text1"/>
          <w:spacing w:val="-7"/>
          <w:sz w:val="24"/>
          <w:szCs w:val="24"/>
        </w:rPr>
        <w:t xml:space="preserve"> </w:t>
      </w:r>
      <w:r w:rsidR="00D256DA" w:rsidRPr="00A319C2">
        <w:rPr>
          <w:rFonts w:ascii="Arial" w:hAnsi="Arial" w:cs="Arial"/>
          <w:color w:val="000000" w:themeColor="text1"/>
          <w:sz w:val="24"/>
          <w:szCs w:val="24"/>
        </w:rPr>
        <w:t>claimants.</w:t>
      </w:r>
    </w:p>
    <w:p w14:paraId="095497D3" w14:textId="77777777" w:rsidR="00D256DA" w:rsidRPr="00A319C2" w:rsidRDefault="00D256DA" w:rsidP="007E3119">
      <w:pPr>
        <w:pStyle w:val="BodyText"/>
        <w:tabs>
          <w:tab w:val="left" w:pos="510"/>
          <w:tab w:val="left" w:pos="1077"/>
          <w:tab w:val="left" w:pos="1797"/>
        </w:tabs>
        <w:ind w:left="0" w:right="57"/>
        <w:jc w:val="both"/>
        <w:rPr>
          <w:rFonts w:ascii="Arial" w:hAnsi="Arial" w:cs="Arial"/>
          <w:color w:val="000000" w:themeColor="text1"/>
        </w:rPr>
      </w:pPr>
    </w:p>
    <w:p w14:paraId="0D5136F2" w14:textId="6B9A4C2B"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13.</w:t>
      </w:r>
      <w:r w:rsidRPr="00A319C2">
        <w:rPr>
          <w:rFonts w:ascii="Arial" w:hAnsi="Arial" w:cs="Arial"/>
          <w:color w:val="000000" w:themeColor="text1"/>
          <w:sz w:val="24"/>
          <w:szCs w:val="24"/>
        </w:rPr>
        <w:tab/>
        <w:t>The relevant regulations, made under article 12(3) by the Great Britain Secretary of State for Work and Pensions, are the Universal Credit Regulations (NI) 2016 (the UC Regulations).</w:t>
      </w:r>
      <w:r w:rsidR="00164889">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By regulation 22, these provide for an assessment period as follows:</w:t>
      </w:r>
    </w:p>
    <w:p w14:paraId="7FB5ABB7"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7898875" w14:textId="19690BF4" w:rsidR="00D256DA" w:rsidRPr="00A319C2" w:rsidRDefault="00164889"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22.</w:t>
      </w:r>
      <w:proofErr w:type="gramStart"/>
      <w:r w:rsidR="00D256DA" w:rsidRPr="00A319C2">
        <w:rPr>
          <w:rFonts w:ascii="Arial" w:hAnsi="Arial" w:cs="Arial"/>
          <w:color w:val="000000" w:themeColor="text1"/>
          <w:sz w:val="24"/>
          <w:szCs w:val="24"/>
        </w:rPr>
        <w:t>—(</w:t>
      </w:r>
      <w:proofErr w:type="gramEnd"/>
      <w:r w:rsidR="00D256DA" w:rsidRPr="00A319C2">
        <w:rPr>
          <w:rFonts w:ascii="Arial" w:hAnsi="Arial" w:cs="Arial"/>
          <w:color w:val="000000" w:themeColor="text1"/>
          <w:sz w:val="24"/>
          <w:szCs w:val="24"/>
        </w:rPr>
        <w:t>1) An assessment period is a period of one month beginning with the first date of entitlement and each subsequent period of one month during which entitlement</w:t>
      </w:r>
      <w:r w:rsidR="00D256DA" w:rsidRPr="00A319C2">
        <w:rPr>
          <w:rFonts w:ascii="Arial" w:hAnsi="Arial" w:cs="Arial"/>
          <w:color w:val="000000" w:themeColor="text1"/>
          <w:spacing w:val="-18"/>
          <w:sz w:val="24"/>
          <w:szCs w:val="24"/>
        </w:rPr>
        <w:t xml:space="preserve"> </w:t>
      </w:r>
      <w:r w:rsidR="00D256DA" w:rsidRPr="00A319C2">
        <w:rPr>
          <w:rFonts w:ascii="Arial" w:hAnsi="Arial" w:cs="Arial"/>
          <w:color w:val="000000" w:themeColor="text1"/>
          <w:sz w:val="24"/>
          <w:szCs w:val="24"/>
        </w:rPr>
        <w:t>subsists.</w:t>
      </w:r>
    </w:p>
    <w:p w14:paraId="7244EFCE"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59B0A30D" w14:textId="43B834F3"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14.</w:t>
      </w:r>
      <w:r w:rsidRPr="00A319C2">
        <w:rPr>
          <w:rFonts w:ascii="Arial" w:hAnsi="Arial" w:cs="Arial"/>
          <w:color w:val="000000" w:themeColor="text1"/>
          <w:sz w:val="24"/>
          <w:szCs w:val="24"/>
        </w:rPr>
        <w:tab/>
        <w:t>The definition of “earned income”, which falls to be deducted from the maximum UC award as required by article 13(3), appears at regulation 51 of the UC Regulations.</w:t>
      </w:r>
      <w:r w:rsidR="00F75681">
        <w:rPr>
          <w:rFonts w:ascii="Arial" w:hAnsi="Arial" w:cs="Arial"/>
          <w:color w:val="000000" w:themeColor="text1"/>
          <w:sz w:val="24"/>
          <w:szCs w:val="24"/>
        </w:rPr>
        <w:t xml:space="preserve"> </w:t>
      </w:r>
      <w:r w:rsidRPr="00A319C2">
        <w:rPr>
          <w:rFonts w:ascii="Arial" w:hAnsi="Arial" w:cs="Arial"/>
          <w:color w:val="000000" w:themeColor="text1"/>
          <w:sz w:val="24"/>
          <w:szCs w:val="24"/>
        </w:rPr>
        <w:t xml:space="preserve"> This provides:</w:t>
      </w:r>
    </w:p>
    <w:p w14:paraId="686C153E"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1577DE77" w14:textId="3FAF408A" w:rsidR="00D256DA" w:rsidRPr="00A319C2" w:rsidRDefault="00F75681" w:rsidP="007E3119">
      <w:pPr>
        <w:tabs>
          <w:tab w:val="left" w:pos="510"/>
          <w:tab w:val="left" w:pos="1077"/>
          <w:tab w:val="left" w:pos="1797"/>
        </w:tabs>
        <w:spacing w:after="0" w:line="240" w:lineRule="auto"/>
        <w:ind w:right="57"/>
        <w:jc w:val="both"/>
        <w:rPr>
          <w:rFonts w:ascii="Arial" w:hAnsi="Arial" w:cs="Arial"/>
          <w:color w:val="000000" w:themeColor="text1"/>
          <w:sz w:val="24"/>
          <w:szCs w:val="24"/>
        </w:rPr>
      </w:pPr>
      <w:r>
        <w:rPr>
          <w:rFonts w:ascii="Arial" w:eastAsia="Times New Roman" w:hAnsi="Arial" w:cs="Arial"/>
          <w:color w:val="000000" w:themeColor="text1"/>
          <w:sz w:val="24"/>
          <w:szCs w:val="24"/>
        </w:rPr>
        <w:tab/>
      </w:r>
      <w:proofErr w:type="gramStart"/>
      <w:r w:rsidR="00D256DA" w:rsidRPr="00A319C2">
        <w:rPr>
          <w:rFonts w:ascii="Arial" w:eastAsia="Times New Roman" w:hAnsi="Arial" w:cs="Arial"/>
          <w:color w:val="000000" w:themeColor="text1"/>
          <w:sz w:val="24"/>
          <w:szCs w:val="24"/>
        </w:rPr>
        <w:t>51.</w:t>
      </w:r>
      <w:r>
        <w:rPr>
          <w:rFonts w:ascii="Arial" w:eastAsia="Times New Roman" w:hAnsi="Arial" w:cs="Arial"/>
          <w:color w:val="000000" w:themeColor="text1"/>
          <w:sz w:val="24"/>
          <w:szCs w:val="24"/>
        </w:rPr>
        <w:t xml:space="preserve"> </w:t>
      </w:r>
      <w:r w:rsidR="00D256DA" w:rsidRPr="00A319C2">
        <w:rPr>
          <w:rFonts w:ascii="Arial" w:hAnsi="Arial" w:cs="Arial"/>
          <w:color w:val="000000" w:themeColor="text1"/>
          <w:sz w:val="24"/>
          <w:szCs w:val="24"/>
        </w:rPr>
        <w:t xml:space="preserve"> “</w:t>
      </w:r>
      <w:proofErr w:type="gramEnd"/>
      <w:r w:rsidR="00D256DA" w:rsidRPr="00A319C2">
        <w:rPr>
          <w:rFonts w:ascii="Arial" w:hAnsi="Arial" w:cs="Arial"/>
          <w:color w:val="000000" w:themeColor="text1"/>
          <w:sz w:val="24"/>
          <w:szCs w:val="24"/>
        </w:rPr>
        <w:t xml:space="preserve">Earned income” means— </w:t>
      </w:r>
    </w:p>
    <w:p w14:paraId="329E4722" w14:textId="77777777" w:rsidR="00D256DA" w:rsidRPr="00A319C2" w:rsidRDefault="00D256DA" w:rsidP="007E3119">
      <w:pPr>
        <w:tabs>
          <w:tab w:val="left" w:pos="510"/>
          <w:tab w:val="left" w:pos="1077"/>
          <w:tab w:val="left" w:pos="1797"/>
        </w:tabs>
        <w:spacing w:after="0" w:line="240" w:lineRule="auto"/>
        <w:ind w:right="57"/>
        <w:jc w:val="both"/>
        <w:rPr>
          <w:rFonts w:ascii="Arial" w:hAnsi="Arial" w:cs="Arial"/>
          <w:color w:val="000000" w:themeColor="text1"/>
          <w:sz w:val="24"/>
          <w:szCs w:val="24"/>
        </w:rPr>
      </w:pPr>
    </w:p>
    <w:p w14:paraId="7D1BBD43" w14:textId="66C37479" w:rsidR="00D256DA" w:rsidRPr="00A319C2" w:rsidRDefault="00F75681" w:rsidP="007E3119">
      <w:pPr>
        <w:tabs>
          <w:tab w:val="left" w:pos="510"/>
          <w:tab w:val="left" w:pos="1077"/>
          <w:tab w:val="left" w:pos="1560"/>
        </w:tabs>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D256DA" w:rsidRPr="00A319C2">
        <w:rPr>
          <w:rFonts w:ascii="Arial" w:hAnsi="Arial" w:cs="Arial"/>
          <w:color w:val="000000" w:themeColor="text1"/>
          <w:sz w:val="24"/>
          <w:szCs w:val="24"/>
        </w:rPr>
        <w:t>(a)</w:t>
      </w:r>
      <w:r w:rsidR="002F08BB">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remuneration or profits derived from— </w:t>
      </w:r>
    </w:p>
    <w:p w14:paraId="2C38B258" w14:textId="77777777" w:rsidR="00D256DA" w:rsidRPr="00A319C2" w:rsidRDefault="00D256DA" w:rsidP="007E3119">
      <w:pPr>
        <w:tabs>
          <w:tab w:val="left" w:pos="510"/>
          <w:tab w:val="left" w:pos="1077"/>
          <w:tab w:val="left" w:pos="1560"/>
          <w:tab w:val="left" w:pos="2127"/>
        </w:tabs>
        <w:spacing w:after="0" w:line="240" w:lineRule="auto"/>
        <w:ind w:right="57"/>
        <w:jc w:val="both"/>
        <w:rPr>
          <w:rFonts w:ascii="Arial" w:hAnsi="Arial" w:cs="Arial"/>
          <w:color w:val="000000" w:themeColor="text1"/>
          <w:sz w:val="24"/>
          <w:szCs w:val="24"/>
        </w:rPr>
      </w:pPr>
    </w:p>
    <w:p w14:paraId="161EAF51" w14:textId="0CABC0A1" w:rsidR="00D256DA" w:rsidRPr="00A319C2" w:rsidRDefault="00F75681" w:rsidP="007E3119">
      <w:pPr>
        <w:tabs>
          <w:tab w:val="left" w:pos="510"/>
          <w:tab w:val="left" w:pos="1077"/>
          <w:tab w:val="left" w:pos="1560"/>
          <w:tab w:val="left" w:pos="2127"/>
        </w:tabs>
        <w:spacing w:after="0" w:line="240" w:lineRule="auto"/>
        <w:ind w:left="2127" w:right="57" w:hanging="212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D256DA" w:rsidRPr="00A319C2">
        <w:rPr>
          <w:rFonts w:ascii="Arial" w:hAnsi="Arial" w:cs="Arial"/>
          <w:color w:val="000000" w:themeColor="text1"/>
          <w:sz w:val="24"/>
          <w:szCs w:val="24"/>
        </w:rPr>
        <w:t>employment under a contract of service or in an office, including elective office,</w:t>
      </w:r>
    </w:p>
    <w:p w14:paraId="323865A2" w14:textId="77777777" w:rsidR="00D256DA" w:rsidRPr="00A319C2" w:rsidRDefault="00D256DA" w:rsidP="007E3119">
      <w:pPr>
        <w:tabs>
          <w:tab w:val="left" w:pos="510"/>
          <w:tab w:val="left" w:pos="1077"/>
          <w:tab w:val="left" w:pos="1560"/>
          <w:tab w:val="left" w:pos="2127"/>
        </w:tabs>
        <w:spacing w:after="0" w:line="240" w:lineRule="auto"/>
        <w:ind w:left="2127" w:right="57" w:hanging="2127"/>
        <w:jc w:val="both"/>
        <w:rPr>
          <w:rFonts w:ascii="Arial" w:hAnsi="Arial" w:cs="Arial"/>
          <w:color w:val="000000" w:themeColor="text1"/>
          <w:sz w:val="24"/>
          <w:szCs w:val="24"/>
        </w:rPr>
      </w:pPr>
    </w:p>
    <w:p w14:paraId="389FBBF6" w14:textId="3DA2D430" w:rsidR="00D256DA" w:rsidRPr="00A319C2" w:rsidRDefault="00F75681" w:rsidP="007E3119">
      <w:pPr>
        <w:tabs>
          <w:tab w:val="left" w:pos="510"/>
          <w:tab w:val="left" w:pos="1077"/>
          <w:tab w:val="left" w:pos="1560"/>
          <w:tab w:val="left" w:pos="2127"/>
        </w:tabs>
        <w:spacing w:after="0" w:line="240" w:lineRule="auto"/>
        <w:ind w:left="2127" w:right="57" w:hanging="212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(ii)</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 trade, </w:t>
      </w:r>
      <w:proofErr w:type="gramStart"/>
      <w:r w:rsidR="00D256DA" w:rsidRPr="00A319C2">
        <w:rPr>
          <w:rFonts w:ascii="Arial" w:hAnsi="Arial" w:cs="Arial"/>
          <w:color w:val="000000" w:themeColor="text1"/>
          <w:sz w:val="24"/>
          <w:szCs w:val="24"/>
        </w:rPr>
        <w:t>profession</w:t>
      </w:r>
      <w:proofErr w:type="gramEnd"/>
      <w:r w:rsidR="00D256DA" w:rsidRPr="00A319C2">
        <w:rPr>
          <w:rFonts w:ascii="Arial" w:hAnsi="Arial" w:cs="Arial"/>
          <w:color w:val="000000" w:themeColor="text1"/>
          <w:sz w:val="24"/>
          <w:szCs w:val="24"/>
        </w:rPr>
        <w:t xml:space="preserve"> or vocation, or </w:t>
      </w:r>
    </w:p>
    <w:p w14:paraId="62FAAA7A" w14:textId="77777777" w:rsidR="00D256DA" w:rsidRPr="00A319C2" w:rsidRDefault="00D256DA" w:rsidP="007E3119">
      <w:pPr>
        <w:tabs>
          <w:tab w:val="left" w:pos="510"/>
          <w:tab w:val="left" w:pos="1077"/>
          <w:tab w:val="left" w:pos="1560"/>
          <w:tab w:val="left" w:pos="2127"/>
        </w:tabs>
        <w:spacing w:after="0" w:line="240" w:lineRule="auto"/>
        <w:ind w:left="2127" w:right="57" w:hanging="2127"/>
        <w:jc w:val="both"/>
        <w:rPr>
          <w:rFonts w:ascii="Arial" w:hAnsi="Arial" w:cs="Arial"/>
          <w:color w:val="000000" w:themeColor="text1"/>
          <w:sz w:val="24"/>
          <w:szCs w:val="24"/>
        </w:rPr>
      </w:pPr>
    </w:p>
    <w:p w14:paraId="456AE98E" w14:textId="1FE47669" w:rsidR="00D256DA" w:rsidRPr="00A319C2" w:rsidRDefault="00F75681" w:rsidP="007E3119">
      <w:pPr>
        <w:tabs>
          <w:tab w:val="left" w:pos="510"/>
          <w:tab w:val="left" w:pos="1077"/>
          <w:tab w:val="left" w:pos="1560"/>
          <w:tab w:val="left" w:pos="2127"/>
        </w:tabs>
        <w:spacing w:after="0" w:line="240" w:lineRule="auto"/>
        <w:ind w:left="2127" w:right="57" w:hanging="212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(iii)</w:t>
      </w:r>
      <w:r w:rsidR="002F08BB">
        <w:rPr>
          <w:rFonts w:ascii="Arial" w:hAnsi="Arial" w:cs="Arial"/>
          <w:color w:val="000000" w:themeColor="text1"/>
          <w:sz w:val="24"/>
          <w:szCs w:val="24"/>
        </w:rPr>
        <w:tab/>
      </w:r>
      <w:r w:rsidR="00D256DA" w:rsidRPr="00A319C2">
        <w:rPr>
          <w:rFonts w:ascii="Arial" w:hAnsi="Arial" w:cs="Arial"/>
          <w:color w:val="000000" w:themeColor="text1"/>
          <w:sz w:val="24"/>
          <w:szCs w:val="24"/>
        </w:rPr>
        <w:t>any other paid work; or</w:t>
      </w:r>
    </w:p>
    <w:p w14:paraId="318EC142" w14:textId="614C1ADB" w:rsidR="00D256DA" w:rsidRPr="00A319C2" w:rsidRDefault="00D256DA" w:rsidP="007E3119">
      <w:pPr>
        <w:tabs>
          <w:tab w:val="left" w:pos="510"/>
          <w:tab w:val="left" w:pos="1077"/>
          <w:tab w:val="left" w:pos="1797"/>
        </w:tabs>
        <w:spacing w:after="0" w:line="240" w:lineRule="auto"/>
        <w:ind w:right="57"/>
        <w:jc w:val="both"/>
        <w:rPr>
          <w:rFonts w:ascii="Arial" w:hAnsi="Arial" w:cs="Arial"/>
          <w:color w:val="000000" w:themeColor="text1"/>
          <w:sz w:val="24"/>
          <w:szCs w:val="24"/>
        </w:rPr>
      </w:pPr>
    </w:p>
    <w:p w14:paraId="4C98BE31" w14:textId="3E2FB408" w:rsidR="00D256DA" w:rsidRPr="00A319C2" w:rsidRDefault="002F08BB" w:rsidP="007E3119">
      <w:pPr>
        <w:tabs>
          <w:tab w:val="left" w:pos="510"/>
          <w:tab w:val="left" w:pos="1077"/>
          <w:tab w:val="left" w:pos="1560"/>
        </w:tabs>
        <w:spacing w:after="0" w:line="240" w:lineRule="auto"/>
        <w:ind w:left="1560" w:right="57" w:hanging="156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D256DA" w:rsidRPr="00A319C2">
        <w:rPr>
          <w:rFonts w:ascii="Arial" w:hAnsi="Arial" w:cs="Arial"/>
          <w:color w:val="000000" w:themeColor="text1"/>
          <w:sz w:val="24"/>
          <w:szCs w:val="24"/>
        </w:rPr>
        <w:t>(b)</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any income treated as earned income in accordance with this Chapter. </w:t>
      </w:r>
    </w:p>
    <w:p w14:paraId="1AC54701"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1D41A5BE"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15.</w:t>
      </w:r>
      <w:r w:rsidRPr="00A319C2">
        <w:rPr>
          <w:rFonts w:ascii="Arial" w:hAnsi="Arial" w:cs="Arial"/>
          <w:color w:val="000000" w:themeColor="text1"/>
          <w:sz w:val="24"/>
          <w:szCs w:val="24"/>
        </w:rPr>
        <w:tab/>
        <w:t>The general principle for the calculation of “earned income” is provided for at regulation 53</w:t>
      </w:r>
    </w:p>
    <w:p w14:paraId="7A801C39"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1FC7AB5F" w14:textId="63B70DA1" w:rsidR="00D256DA" w:rsidRPr="00A319C2" w:rsidRDefault="005A55FC"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eastAsia="Times New Roman" w:hAnsi="Arial" w:cs="Arial"/>
          <w:color w:val="000000" w:themeColor="text1"/>
          <w:sz w:val="24"/>
          <w:szCs w:val="24"/>
        </w:rPr>
        <w:tab/>
      </w:r>
      <w:r w:rsidR="00D256DA" w:rsidRPr="00A319C2">
        <w:rPr>
          <w:rFonts w:ascii="Arial" w:eastAsia="Times New Roman" w:hAnsi="Arial" w:cs="Arial"/>
          <w:color w:val="000000" w:themeColor="text1"/>
          <w:sz w:val="24"/>
          <w:szCs w:val="24"/>
        </w:rPr>
        <w:t>53.</w:t>
      </w:r>
      <w:proofErr w:type="gramStart"/>
      <w:r w:rsidR="00D256DA" w:rsidRPr="00A319C2">
        <w:rPr>
          <w:rFonts w:ascii="Arial" w:hAnsi="Arial" w:cs="Arial"/>
          <w:color w:val="000000" w:themeColor="text1"/>
          <w:sz w:val="24"/>
          <w:szCs w:val="24"/>
        </w:rPr>
        <w:t>—(</w:t>
      </w:r>
      <w:proofErr w:type="gramEnd"/>
      <w:r w:rsidR="00D256DA" w:rsidRPr="00A319C2">
        <w:rPr>
          <w:rFonts w:ascii="Arial" w:hAnsi="Arial" w:cs="Arial"/>
          <w:color w:val="000000" w:themeColor="text1"/>
          <w:sz w:val="24"/>
          <w:szCs w:val="24"/>
        </w:rPr>
        <w:t xml:space="preserve">1) The calculation of a person’s earned income in respect of an assessment period is, unless otherwise provided in this Chapter, to be based on the actual amounts received in that period. </w:t>
      </w:r>
    </w:p>
    <w:p w14:paraId="4A062E4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6A2B5B86" w14:textId="0092B7E7" w:rsidR="00D256DA" w:rsidRPr="00A319C2" w:rsidRDefault="005A55FC"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(2)</w:t>
      </w:r>
      <w:r w:rsidR="00D256DA" w:rsidRPr="00A319C2">
        <w:rPr>
          <w:rFonts w:ascii="Arial" w:eastAsia="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Where the Department— </w:t>
      </w:r>
    </w:p>
    <w:p w14:paraId="1C6300D1"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1D23234D" w14:textId="1737FB6D" w:rsidR="00D256DA" w:rsidRPr="00A319C2" w:rsidRDefault="005A55FC" w:rsidP="007E3119">
      <w:pPr>
        <w:tabs>
          <w:tab w:val="left" w:pos="510"/>
          <w:tab w:val="left" w:pos="1077"/>
          <w:tab w:val="left" w:pos="1797"/>
        </w:tabs>
        <w:spacing w:after="0" w:line="240" w:lineRule="auto"/>
        <w:ind w:left="1077" w:right="57" w:hanging="1077"/>
        <w:jc w:val="both"/>
        <w:rPr>
          <w:rFonts w:ascii="Arial" w:hAnsi="Arial" w:cs="Arial"/>
          <w:color w:val="000000" w:themeColor="text1"/>
          <w:sz w:val="24"/>
          <w:szCs w:val="24"/>
        </w:rPr>
      </w:pPr>
      <w:r>
        <w:rPr>
          <w:rFonts w:ascii="Arial" w:hAnsi="Arial" w:cs="Arial"/>
          <w:color w:val="000000" w:themeColor="text1"/>
          <w:sz w:val="24"/>
          <w:szCs w:val="24"/>
        </w:rPr>
        <w:lastRenderedPageBreak/>
        <w:tab/>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 </w:t>
      </w:r>
      <w:proofErr w:type="gramStart"/>
      <w:r w:rsidR="00D256DA" w:rsidRPr="00A319C2">
        <w:rPr>
          <w:rFonts w:ascii="Arial" w:hAnsi="Arial" w:cs="Arial"/>
          <w:color w:val="000000" w:themeColor="text1"/>
          <w:sz w:val="24"/>
          <w:szCs w:val="24"/>
        </w:rPr>
        <w:t>makes a determination</w:t>
      </w:r>
      <w:proofErr w:type="gramEnd"/>
      <w:r w:rsidR="00D256DA" w:rsidRPr="00A319C2">
        <w:rPr>
          <w:rFonts w:ascii="Arial" w:hAnsi="Arial" w:cs="Arial"/>
          <w:color w:val="000000" w:themeColor="text1"/>
          <w:sz w:val="24"/>
          <w:szCs w:val="24"/>
        </w:rPr>
        <w:t xml:space="preserve"> as to whether the financial conditions in Article 10 of the Order are met before the expiry of the first assessment period in relation to a claim for universal credit, or </w:t>
      </w:r>
    </w:p>
    <w:p w14:paraId="680DFE7D" w14:textId="77777777" w:rsidR="00D256DA" w:rsidRPr="00A319C2" w:rsidRDefault="00D256DA" w:rsidP="007E3119">
      <w:pPr>
        <w:tabs>
          <w:tab w:val="left" w:pos="510"/>
          <w:tab w:val="left" w:pos="1077"/>
          <w:tab w:val="left" w:pos="1797"/>
        </w:tabs>
        <w:spacing w:after="0" w:line="240" w:lineRule="auto"/>
        <w:ind w:left="1077" w:right="57" w:hanging="1077"/>
        <w:jc w:val="both"/>
        <w:rPr>
          <w:rFonts w:ascii="Arial" w:hAnsi="Arial" w:cs="Arial"/>
          <w:color w:val="000000" w:themeColor="text1"/>
          <w:sz w:val="24"/>
          <w:szCs w:val="24"/>
        </w:rPr>
      </w:pPr>
    </w:p>
    <w:p w14:paraId="7BE8E01E" w14:textId="59B540FD" w:rsidR="00D256DA" w:rsidRPr="00A319C2" w:rsidRDefault="005A55FC" w:rsidP="007E3119">
      <w:pPr>
        <w:tabs>
          <w:tab w:val="left" w:pos="510"/>
          <w:tab w:val="left" w:pos="1077"/>
          <w:tab w:val="left" w:pos="1797"/>
        </w:tabs>
        <w:spacing w:after="0" w:line="240" w:lineRule="auto"/>
        <w:ind w:left="1077" w:right="5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(b) </w:t>
      </w:r>
      <w:proofErr w:type="gramStart"/>
      <w:r w:rsidR="00D256DA" w:rsidRPr="00A319C2">
        <w:rPr>
          <w:rFonts w:ascii="Arial" w:hAnsi="Arial" w:cs="Arial"/>
          <w:color w:val="000000" w:themeColor="text1"/>
          <w:sz w:val="24"/>
          <w:szCs w:val="24"/>
        </w:rPr>
        <w:t>makes a determination</w:t>
      </w:r>
      <w:proofErr w:type="gramEnd"/>
      <w:r w:rsidR="00D256DA" w:rsidRPr="00A319C2">
        <w:rPr>
          <w:rFonts w:ascii="Arial" w:hAnsi="Arial" w:cs="Arial"/>
          <w:color w:val="000000" w:themeColor="text1"/>
          <w:sz w:val="24"/>
          <w:szCs w:val="24"/>
        </w:rPr>
        <w:t xml:space="preserve"> as to the amount of a person’s unearned income in relation to an assessment period where a person has failed to report information in relation to that earned income, </w:t>
      </w:r>
    </w:p>
    <w:p w14:paraId="2FEACF84"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5E27D517" w14:textId="35945970" w:rsidR="00D256DA" w:rsidRPr="00A319C2" w:rsidRDefault="005A55FC"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that determination may be based on an estimate of the amounts received or expected to be received in that assessment period. </w:t>
      </w:r>
    </w:p>
    <w:p w14:paraId="3926C0E7"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1EC326D3" w14:textId="198B1330"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16.</w:t>
      </w:r>
      <w:r w:rsidRPr="00A319C2">
        <w:rPr>
          <w:rFonts w:ascii="Arial" w:hAnsi="Arial" w:cs="Arial"/>
          <w:color w:val="000000" w:themeColor="text1"/>
          <w:sz w:val="24"/>
          <w:szCs w:val="24"/>
        </w:rPr>
        <w:tab/>
        <w:t xml:space="preserve">The mechanism for calculating earned income is provided by regulation 55. </w:t>
      </w:r>
      <w:r w:rsidR="005A55FC">
        <w:rPr>
          <w:rFonts w:ascii="Arial" w:hAnsi="Arial" w:cs="Arial"/>
          <w:color w:val="000000" w:themeColor="text1"/>
          <w:sz w:val="24"/>
          <w:szCs w:val="24"/>
        </w:rPr>
        <w:t xml:space="preserve"> </w:t>
      </w:r>
      <w:r w:rsidRPr="00A319C2">
        <w:rPr>
          <w:rFonts w:ascii="Arial" w:hAnsi="Arial" w:cs="Arial"/>
          <w:color w:val="000000" w:themeColor="text1"/>
          <w:sz w:val="24"/>
          <w:szCs w:val="24"/>
        </w:rPr>
        <w:t>This provides:</w:t>
      </w:r>
    </w:p>
    <w:p w14:paraId="3FB53C60"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6DA12E8" w14:textId="5088B3DA" w:rsidR="00D256DA" w:rsidRPr="00A319C2" w:rsidRDefault="005A55FC" w:rsidP="007E3119">
      <w:pPr>
        <w:pStyle w:val="legp1paratext"/>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r>
        <w:rPr>
          <w:rStyle w:val="legp1no"/>
          <w:rFonts w:ascii="Arial" w:hAnsi="Arial" w:cs="Arial"/>
          <w:bCs/>
          <w:color w:val="000000" w:themeColor="text1"/>
        </w:rPr>
        <w:tab/>
      </w:r>
      <w:r w:rsidR="00D256DA" w:rsidRPr="00A319C2">
        <w:rPr>
          <w:rStyle w:val="legp1no"/>
          <w:rFonts w:ascii="Arial" w:hAnsi="Arial" w:cs="Arial"/>
          <w:bCs/>
          <w:color w:val="000000" w:themeColor="text1"/>
        </w:rPr>
        <w:t>55.</w:t>
      </w:r>
      <w:proofErr w:type="gramStart"/>
      <w:r w:rsidR="00D256DA" w:rsidRPr="00A319C2">
        <w:rPr>
          <w:rFonts w:ascii="Arial" w:hAnsi="Arial" w:cs="Arial"/>
          <w:color w:val="000000" w:themeColor="text1"/>
        </w:rPr>
        <w:t>—(</w:t>
      </w:r>
      <w:proofErr w:type="gramEnd"/>
      <w:r w:rsidR="00D256DA" w:rsidRPr="00A319C2">
        <w:rPr>
          <w:rFonts w:ascii="Arial" w:hAnsi="Arial" w:cs="Arial"/>
          <w:color w:val="000000" w:themeColor="text1"/>
        </w:rPr>
        <w:t>1)</w:t>
      </w:r>
      <w:r>
        <w:rPr>
          <w:rFonts w:ascii="Arial" w:hAnsi="Arial" w:cs="Arial"/>
          <w:color w:val="000000" w:themeColor="text1"/>
        </w:rPr>
        <w:t xml:space="preserve"> </w:t>
      </w:r>
      <w:r w:rsidR="00D256DA" w:rsidRPr="00A319C2">
        <w:rPr>
          <w:rFonts w:ascii="Arial" w:hAnsi="Arial" w:cs="Arial"/>
          <w:color w:val="000000" w:themeColor="text1"/>
        </w:rPr>
        <w:t>This regulation applies for the purposes of calculating earned income from employment under a contract of service or in an office including elective office (“employed earnings”).</w:t>
      </w:r>
    </w:p>
    <w:p w14:paraId="17141491" w14:textId="77777777" w:rsidR="00D256DA" w:rsidRPr="00A319C2" w:rsidRDefault="00D256DA" w:rsidP="007E3119">
      <w:pPr>
        <w:pStyle w:val="legp2paratext"/>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7865C0AF" w14:textId="4D3E00DD" w:rsidR="00D256DA" w:rsidRPr="00A319C2" w:rsidRDefault="005A55FC" w:rsidP="007E3119">
      <w:pPr>
        <w:pStyle w:val="legp2paratext"/>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r>
        <w:rPr>
          <w:rFonts w:ascii="Arial" w:hAnsi="Arial" w:cs="Arial"/>
          <w:color w:val="000000" w:themeColor="text1"/>
        </w:rPr>
        <w:tab/>
      </w:r>
      <w:r w:rsidR="00D256DA" w:rsidRPr="00A319C2">
        <w:rPr>
          <w:rFonts w:ascii="Arial" w:hAnsi="Arial" w:cs="Arial"/>
          <w:color w:val="000000" w:themeColor="text1"/>
        </w:rPr>
        <w:t>(2)</w:t>
      </w:r>
      <w:r>
        <w:rPr>
          <w:rFonts w:ascii="Arial" w:hAnsi="Arial" w:cs="Arial"/>
          <w:color w:val="000000" w:themeColor="text1"/>
        </w:rPr>
        <w:t xml:space="preserve"> </w:t>
      </w:r>
      <w:r w:rsidR="00D256DA" w:rsidRPr="00A319C2">
        <w:rPr>
          <w:rFonts w:ascii="Arial" w:hAnsi="Arial" w:cs="Arial"/>
          <w:color w:val="000000" w:themeColor="text1"/>
        </w:rPr>
        <w:t>Employed earnings comprise any amounts that are general earnings as defined in section 7(3) of the ITEPA but excluding—</w:t>
      </w:r>
    </w:p>
    <w:p w14:paraId="729DFABF" w14:textId="77777777" w:rsidR="00D256DA" w:rsidRPr="00A319C2" w:rsidRDefault="00D256DA"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p>
    <w:p w14:paraId="31A97749" w14:textId="38963D0F" w:rsidR="00D256DA" w:rsidRPr="00A319C2" w:rsidRDefault="005A55FC" w:rsidP="007E3119">
      <w:pPr>
        <w:pStyle w:val="legclearfix"/>
        <w:tabs>
          <w:tab w:val="left" w:pos="510"/>
          <w:tab w:val="left" w:pos="1077"/>
          <w:tab w:val="left" w:pos="1797"/>
        </w:tabs>
        <w:spacing w:before="0" w:beforeAutospacing="0" w:after="0" w:afterAutospacing="0"/>
        <w:ind w:left="1077" w:right="57" w:hanging="1077"/>
        <w:jc w:val="both"/>
        <w:rPr>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(a) amounts that are treated as earnings under Chapters 2 to 11 of Part 3 of that Act (employment income: earnings and benefit etc treated as income), and</w:t>
      </w:r>
    </w:p>
    <w:p w14:paraId="4D51F5C6" w14:textId="77777777" w:rsidR="00D256DA" w:rsidRPr="00A319C2" w:rsidRDefault="00D256DA" w:rsidP="007E3119">
      <w:pPr>
        <w:pStyle w:val="legclearfix"/>
        <w:tabs>
          <w:tab w:val="left" w:pos="510"/>
          <w:tab w:val="left" w:pos="1077"/>
          <w:tab w:val="left" w:pos="1797"/>
        </w:tabs>
        <w:spacing w:before="0" w:beforeAutospacing="0" w:after="0" w:afterAutospacing="0"/>
        <w:ind w:left="1077" w:right="57" w:hanging="1077"/>
        <w:jc w:val="both"/>
        <w:rPr>
          <w:rStyle w:val="legds"/>
          <w:rFonts w:ascii="Arial" w:hAnsi="Arial" w:cs="Arial"/>
          <w:color w:val="000000" w:themeColor="text1"/>
        </w:rPr>
      </w:pPr>
    </w:p>
    <w:p w14:paraId="5C4E86FE" w14:textId="06074810" w:rsidR="00D256DA" w:rsidRPr="00A319C2" w:rsidRDefault="005A55FC" w:rsidP="007E3119">
      <w:pPr>
        <w:pStyle w:val="legclearfix"/>
        <w:tabs>
          <w:tab w:val="left" w:pos="510"/>
          <w:tab w:val="left" w:pos="1077"/>
          <w:tab w:val="left" w:pos="1797"/>
        </w:tabs>
        <w:spacing w:before="0" w:beforeAutospacing="0" w:after="0" w:afterAutospacing="0"/>
        <w:ind w:left="1077" w:right="57" w:hanging="1077"/>
        <w:jc w:val="both"/>
        <w:rPr>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(b) amounts that are exempt from income tax under Part 4 of that Act (employment income: exemptions).</w:t>
      </w:r>
    </w:p>
    <w:p w14:paraId="4B9DA4DA" w14:textId="77777777" w:rsidR="00D256DA" w:rsidRPr="00A319C2" w:rsidRDefault="00D256DA" w:rsidP="007E3119">
      <w:pPr>
        <w:pStyle w:val="legp2paratext"/>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79CA0C38" w14:textId="606446AE" w:rsidR="00D256DA" w:rsidRPr="00A319C2" w:rsidRDefault="005A55FC" w:rsidP="007E3119">
      <w:pPr>
        <w:pStyle w:val="legp2paratext"/>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r>
        <w:rPr>
          <w:rFonts w:ascii="Arial" w:hAnsi="Arial" w:cs="Arial"/>
          <w:color w:val="000000" w:themeColor="text1"/>
        </w:rPr>
        <w:tab/>
      </w:r>
      <w:r w:rsidR="00D256DA" w:rsidRPr="00A319C2">
        <w:rPr>
          <w:rFonts w:ascii="Arial" w:hAnsi="Arial" w:cs="Arial"/>
          <w:color w:val="000000" w:themeColor="text1"/>
        </w:rPr>
        <w:t>(3) … (not relevant)</w:t>
      </w:r>
    </w:p>
    <w:p w14:paraId="5743B60E"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5BAC1EB6" w14:textId="77777777"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17.</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The reference to ITEPA is a reference to the Income Tax (Earnings and Pensions) Act 2003. By section 7(3) of that Act:</w:t>
      </w:r>
    </w:p>
    <w:p w14:paraId="75230DF8"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5CDBEBD6" w14:textId="01F87C3F" w:rsidR="00D256DA" w:rsidRPr="00A319C2" w:rsidRDefault="005A55FC"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sidR="00D256DA" w:rsidRPr="00A319C2">
        <w:rPr>
          <w:rStyle w:val="legds"/>
          <w:rFonts w:ascii="Arial" w:hAnsi="Arial" w:cs="Arial"/>
          <w:color w:val="000000" w:themeColor="text1"/>
        </w:rPr>
        <w:t>(3) “</w:t>
      </w:r>
      <w:r w:rsidR="00D256DA" w:rsidRPr="00A319C2">
        <w:rPr>
          <w:rStyle w:val="legterm"/>
          <w:rFonts w:ascii="Arial" w:hAnsi="Arial" w:cs="Arial"/>
          <w:color w:val="000000" w:themeColor="text1"/>
        </w:rPr>
        <w:t>General earnings</w:t>
      </w:r>
      <w:r w:rsidR="00D256DA" w:rsidRPr="00A319C2">
        <w:rPr>
          <w:rStyle w:val="legds"/>
          <w:rFonts w:ascii="Arial" w:hAnsi="Arial" w:cs="Arial"/>
          <w:color w:val="000000" w:themeColor="text1"/>
        </w:rPr>
        <w:t>” means—</w:t>
      </w:r>
    </w:p>
    <w:p w14:paraId="7BF35D9C" w14:textId="77777777" w:rsidR="00D256DA" w:rsidRPr="00A319C2" w:rsidRDefault="00D256DA"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425B26F4" w14:textId="4098E0A6" w:rsidR="00D256DA" w:rsidRPr="00A319C2" w:rsidRDefault="005A55FC"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(a) earnings within Chapter 1 of Part 3, or</w:t>
      </w:r>
    </w:p>
    <w:p w14:paraId="3DF22D17" w14:textId="77777777" w:rsidR="00D256DA" w:rsidRPr="00A319C2" w:rsidRDefault="00D256DA"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0EB8AC04" w14:textId="44A00813" w:rsidR="00D256DA" w:rsidRPr="00A319C2" w:rsidRDefault="005A55FC"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(b) any amount treated as earnings (see subsection (5)),</w:t>
      </w:r>
    </w:p>
    <w:p w14:paraId="5DABD511" w14:textId="77777777" w:rsidR="00D256DA" w:rsidRPr="00A319C2" w:rsidRDefault="00D256DA"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2419CF2F" w14:textId="4A629007" w:rsidR="00D256DA" w:rsidRPr="00A319C2" w:rsidRDefault="00D256DA" w:rsidP="007E3119">
      <w:pPr>
        <w:pStyle w:val="legrhs"/>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r w:rsidRPr="00A319C2">
        <w:rPr>
          <w:rFonts w:ascii="Arial" w:hAnsi="Arial" w:cs="Arial"/>
          <w:color w:val="000000" w:themeColor="text1"/>
        </w:rPr>
        <w:tab/>
        <w:t>excluding in each case any exempt income.</w:t>
      </w:r>
    </w:p>
    <w:p w14:paraId="0D2E0808"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39F6D919" w14:textId="77777777"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18.</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Chapter 1 of Part 3 of the Act consists of section 62 of the ITEPA, which provides:</w:t>
      </w:r>
    </w:p>
    <w:p w14:paraId="4DF364C7" w14:textId="77777777" w:rsidR="00D256DA" w:rsidRPr="00A319C2" w:rsidRDefault="00D256DA" w:rsidP="007E3119">
      <w:pPr>
        <w:tabs>
          <w:tab w:val="left" w:pos="510"/>
          <w:tab w:val="left" w:pos="1077"/>
          <w:tab w:val="left" w:pos="1797"/>
        </w:tabs>
        <w:spacing w:after="0" w:line="240" w:lineRule="auto"/>
        <w:ind w:right="57"/>
        <w:jc w:val="both"/>
        <w:rPr>
          <w:rFonts w:ascii="Arial" w:hAnsi="Arial" w:cs="Arial"/>
          <w:color w:val="000000" w:themeColor="text1"/>
          <w:sz w:val="24"/>
          <w:szCs w:val="24"/>
        </w:rPr>
      </w:pPr>
    </w:p>
    <w:p w14:paraId="0D6E1830" w14:textId="38C00758" w:rsidR="00D256DA" w:rsidRDefault="00D15AD8"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sidR="00D256DA" w:rsidRPr="00A319C2">
        <w:rPr>
          <w:rStyle w:val="legds"/>
          <w:rFonts w:ascii="Arial" w:hAnsi="Arial" w:cs="Arial"/>
          <w:color w:val="000000" w:themeColor="text1"/>
        </w:rPr>
        <w:t>62(1) This section explains what is meant by “earnings” in the employment income Parts.</w:t>
      </w:r>
    </w:p>
    <w:p w14:paraId="1972341F" w14:textId="77777777" w:rsidR="00D15AD8" w:rsidRPr="00A319C2" w:rsidRDefault="00D15AD8"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53A2A082" w14:textId="39E69B7A" w:rsidR="00D256DA" w:rsidRDefault="00D15AD8"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sidR="00D256DA" w:rsidRPr="00A319C2">
        <w:rPr>
          <w:rStyle w:val="legds"/>
          <w:rFonts w:ascii="Arial" w:hAnsi="Arial" w:cs="Arial"/>
          <w:color w:val="000000" w:themeColor="text1"/>
        </w:rPr>
        <w:t>(2) In those Parts “</w:t>
      </w:r>
      <w:r w:rsidR="00D256DA" w:rsidRPr="00A319C2">
        <w:rPr>
          <w:rStyle w:val="legterm"/>
          <w:rFonts w:ascii="Arial" w:hAnsi="Arial" w:cs="Arial"/>
          <w:color w:val="000000" w:themeColor="text1"/>
        </w:rPr>
        <w:t>earnings</w:t>
      </w:r>
      <w:r w:rsidR="00D256DA" w:rsidRPr="00A319C2">
        <w:rPr>
          <w:rStyle w:val="legds"/>
          <w:rFonts w:ascii="Arial" w:hAnsi="Arial" w:cs="Arial"/>
          <w:color w:val="000000" w:themeColor="text1"/>
        </w:rPr>
        <w:t>”, in relation to an employment, means—</w:t>
      </w:r>
    </w:p>
    <w:p w14:paraId="1E94424B" w14:textId="77777777" w:rsidR="00D15AD8" w:rsidRPr="00A319C2" w:rsidRDefault="00D15AD8"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20F48879" w14:textId="6FA806AB" w:rsidR="00D256DA" w:rsidRPr="00A319C2" w:rsidRDefault="00D15AD8" w:rsidP="007E3119">
      <w:pPr>
        <w:pStyle w:val="legclearfix"/>
        <w:tabs>
          <w:tab w:val="left" w:pos="510"/>
          <w:tab w:val="left" w:pos="1077"/>
          <w:tab w:val="left" w:pos="1797"/>
        </w:tabs>
        <w:spacing w:before="0" w:beforeAutospacing="0" w:after="0" w:afterAutospacing="0"/>
        <w:ind w:left="1077" w:right="57" w:hanging="1077"/>
        <w:jc w:val="both"/>
        <w:rPr>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 xml:space="preserve">(a) any salary, </w:t>
      </w:r>
      <w:proofErr w:type="gramStart"/>
      <w:r w:rsidR="00D256DA" w:rsidRPr="00A319C2">
        <w:rPr>
          <w:rStyle w:val="legds"/>
          <w:rFonts w:ascii="Arial" w:hAnsi="Arial" w:cs="Arial"/>
          <w:color w:val="000000" w:themeColor="text1"/>
        </w:rPr>
        <w:t>wages</w:t>
      </w:r>
      <w:proofErr w:type="gramEnd"/>
      <w:r w:rsidR="00D256DA" w:rsidRPr="00A319C2">
        <w:rPr>
          <w:rStyle w:val="legds"/>
          <w:rFonts w:ascii="Arial" w:hAnsi="Arial" w:cs="Arial"/>
          <w:color w:val="000000" w:themeColor="text1"/>
        </w:rPr>
        <w:t xml:space="preserve"> or fee,</w:t>
      </w:r>
    </w:p>
    <w:p w14:paraId="60245D5A" w14:textId="1CF10CB1" w:rsidR="00D256DA" w:rsidRDefault="00D15AD8" w:rsidP="007E3119">
      <w:pPr>
        <w:pStyle w:val="legclearfix"/>
        <w:tabs>
          <w:tab w:val="left" w:pos="510"/>
          <w:tab w:val="left" w:pos="1077"/>
          <w:tab w:val="left" w:pos="1797"/>
        </w:tabs>
        <w:spacing w:before="0" w:beforeAutospacing="0" w:after="0" w:afterAutospacing="0"/>
        <w:ind w:left="1077" w:right="57" w:hanging="1077"/>
        <w:jc w:val="both"/>
        <w:rPr>
          <w:rStyle w:val="legds"/>
          <w:rFonts w:ascii="Arial" w:hAnsi="Arial" w:cs="Arial"/>
          <w:color w:val="000000" w:themeColor="text1"/>
        </w:rPr>
      </w:pPr>
      <w:r>
        <w:rPr>
          <w:rStyle w:val="legds"/>
          <w:rFonts w:ascii="Arial" w:hAnsi="Arial" w:cs="Arial"/>
          <w:color w:val="000000" w:themeColor="text1"/>
        </w:rPr>
        <w:lastRenderedPageBreak/>
        <w:tab/>
      </w:r>
      <w:r>
        <w:rPr>
          <w:rStyle w:val="legds"/>
          <w:rFonts w:ascii="Arial" w:hAnsi="Arial" w:cs="Arial"/>
          <w:color w:val="000000" w:themeColor="text1"/>
        </w:rPr>
        <w:tab/>
      </w:r>
      <w:r w:rsidR="00D256DA" w:rsidRPr="00A319C2">
        <w:rPr>
          <w:rStyle w:val="legds"/>
          <w:rFonts w:ascii="Arial" w:hAnsi="Arial" w:cs="Arial"/>
          <w:color w:val="000000" w:themeColor="text1"/>
        </w:rPr>
        <w:t>(b) any gratuity or other profit or incidental benefit of any kind obtained by the employee if it is money or money’s worth, or</w:t>
      </w:r>
    </w:p>
    <w:p w14:paraId="62BDF49C" w14:textId="77777777" w:rsidR="00D15AD8" w:rsidRPr="00A319C2" w:rsidRDefault="00D15AD8" w:rsidP="007E3119">
      <w:pPr>
        <w:pStyle w:val="legclearfix"/>
        <w:tabs>
          <w:tab w:val="left" w:pos="510"/>
          <w:tab w:val="left" w:pos="1077"/>
          <w:tab w:val="left" w:pos="1797"/>
        </w:tabs>
        <w:spacing w:before="0" w:beforeAutospacing="0" w:after="0" w:afterAutospacing="0"/>
        <w:ind w:left="1077" w:right="57" w:hanging="1077"/>
        <w:jc w:val="both"/>
        <w:rPr>
          <w:rFonts w:ascii="Arial" w:hAnsi="Arial" w:cs="Arial"/>
          <w:color w:val="000000" w:themeColor="text1"/>
        </w:rPr>
      </w:pPr>
    </w:p>
    <w:p w14:paraId="6E1E25E7" w14:textId="70C4C505" w:rsidR="00D256DA" w:rsidRDefault="00D15AD8" w:rsidP="007E3119">
      <w:pPr>
        <w:pStyle w:val="legclearfix"/>
        <w:tabs>
          <w:tab w:val="left" w:pos="510"/>
          <w:tab w:val="left" w:pos="1077"/>
          <w:tab w:val="left" w:pos="1797"/>
        </w:tabs>
        <w:spacing w:before="0" w:beforeAutospacing="0" w:after="0" w:afterAutospacing="0"/>
        <w:ind w:left="1077" w:right="57" w:hanging="1077"/>
        <w:jc w:val="both"/>
        <w:rPr>
          <w:rStyle w:val="legds"/>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(c) anything else that constitutes an emolument of the employment.</w:t>
      </w:r>
    </w:p>
    <w:p w14:paraId="2847F819" w14:textId="77777777" w:rsidR="00D15AD8" w:rsidRPr="00A319C2" w:rsidRDefault="00D15AD8"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15A0F174" w14:textId="47C73C1D" w:rsidR="00D256DA" w:rsidRDefault="00D15AD8"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sidR="00D256DA" w:rsidRPr="00A319C2">
        <w:rPr>
          <w:rStyle w:val="legds"/>
          <w:rFonts w:ascii="Arial" w:hAnsi="Arial" w:cs="Arial"/>
          <w:color w:val="000000" w:themeColor="text1"/>
        </w:rPr>
        <w:t>(3) For the purposes of subsection (2) “</w:t>
      </w:r>
      <w:r w:rsidR="00D256DA" w:rsidRPr="00A319C2">
        <w:rPr>
          <w:rStyle w:val="legterm"/>
          <w:rFonts w:ascii="Arial" w:hAnsi="Arial" w:cs="Arial"/>
          <w:color w:val="000000" w:themeColor="text1"/>
        </w:rPr>
        <w:t>money’s worth</w:t>
      </w:r>
      <w:r w:rsidR="00D256DA" w:rsidRPr="00A319C2">
        <w:rPr>
          <w:rStyle w:val="legds"/>
          <w:rFonts w:ascii="Arial" w:hAnsi="Arial" w:cs="Arial"/>
          <w:color w:val="000000" w:themeColor="text1"/>
        </w:rPr>
        <w:t>” means something that is—</w:t>
      </w:r>
    </w:p>
    <w:p w14:paraId="3180BDFC" w14:textId="77777777" w:rsidR="00D15AD8" w:rsidRPr="00A319C2" w:rsidRDefault="00D15AD8"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5A5B9D38" w14:textId="3521734E" w:rsidR="00D256DA" w:rsidRDefault="00D15AD8" w:rsidP="007E3119">
      <w:pPr>
        <w:pStyle w:val="legclearfix"/>
        <w:tabs>
          <w:tab w:val="left" w:pos="510"/>
          <w:tab w:val="left" w:pos="1077"/>
          <w:tab w:val="left" w:pos="1797"/>
        </w:tabs>
        <w:spacing w:before="0" w:beforeAutospacing="0" w:after="0" w:afterAutospacing="0"/>
        <w:ind w:left="1077" w:right="57" w:hanging="1077"/>
        <w:jc w:val="both"/>
        <w:rPr>
          <w:rStyle w:val="legds"/>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(a) of direct monetary value to the employee, or</w:t>
      </w:r>
    </w:p>
    <w:p w14:paraId="6B50624F" w14:textId="77777777" w:rsidR="00D15AD8" w:rsidRPr="00A319C2" w:rsidRDefault="00D15AD8" w:rsidP="007E3119">
      <w:pPr>
        <w:pStyle w:val="legclearfix"/>
        <w:tabs>
          <w:tab w:val="left" w:pos="510"/>
          <w:tab w:val="left" w:pos="1077"/>
          <w:tab w:val="left" w:pos="1797"/>
        </w:tabs>
        <w:spacing w:before="0" w:beforeAutospacing="0" w:after="0" w:afterAutospacing="0"/>
        <w:ind w:left="1077" w:right="57" w:hanging="1077"/>
        <w:jc w:val="both"/>
        <w:rPr>
          <w:rFonts w:ascii="Arial" w:hAnsi="Arial" w:cs="Arial"/>
          <w:color w:val="000000" w:themeColor="text1"/>
        </w:rPr>
      </w:pPr>
    </w:p>
    <w:p w14:paraId="07AB6263" w14:textId="4D7BBED4" w:rsidR="00D256DA" w:rsidRDefault="00D15AD8" w:rsidP="007E3119">
      <w:pPr>
        <w:pStyle w:val="legclearfix"/>
        <w:tabs>
          <w:tab w:val="left" w:pos="510"/>
          <w:tab w:val="left" w:pos="1077"/>
          <w:tab w:val="left" w:pos="1797"/>
        </w:tabs>
        <w:spacing w:before="0" w:beforeAutospacing="0" w:after="0" w:afterAutospacing="0"/>
        <w:ind w:left="1077" w:right="57" w:hanging="1077"/>
        <w:jc w:val="both"/>
        <w:rPr>
          <w:rStyle w:val="legds"/>
          <w:rFonts w:ascii="Arial" w:hAnsi="Arial" w:cs="Arial"/>
          <w:color w:val="000000" w:themeColor="text1"/>
        </w:rPr>
      </w:pPr>
      <w:r>
        <w:rPr>
          <w:rStyle w:val="legds"/>
          <w:rFonts w:ascii="Arial" w:hAnsi="Arial" w:cs="Arial"/>
          <w:color w:val="000000" w:themeColor="text1"/>
        </w:rPr>
        <w:tab/>
      </w:r>
      <w:r>
        <w:rPr>
          <w:rStyle w:val="legds"/>
          <w:rFonts w:ascii="Arial" w:hAnsi="Arial" w:cs="Arial"/>
          <w:color w:val="000000" w:themeColor="text1"/>
        </w:rPr>
        <w:tab/>
      </w:r>
      <w:r w:rsidR="00D256DA" w:rsidRPr="00A319C2">
        <w:rPr>
          <w:rStyle w:val="legds"/>
          <w:rFonts w:ascii="Arial" w:hAnsi="Arial" w:cs="Arial"/>
          <w:color w:val="000000" w:themeColor="text1"/>
        </w:rPr>
        <w:t>(b) capable of being converted into money or something of direct monetary value to the employee.</w:t>
      </w:r>
    </w:p>
    <w:p w14:paraId="028C9225" w14:textId="77777777" w:rsidR="00D15AD8" w:rsidRPr="00A319C2" w:rsidRDefault="00D15AD8" w:rsidP="007E3119">
      <w:pPr>
        <w:pStyle w:val="legclearfix"/>
        <w:tabs>
          <w:tab w:val="left" w:pos="510"/>
          <w:tab w:val="left" w:pos="1077"/>
          <w:tab w:val="left" w:pos="1797"/>
        </w:tabs>
        <w:spacing w:before="0" w:beforeAutospacing="0" w:after="0" w:afterAutospacing="0"/>
        <w:ind w:left="510" w:right="57" w:hanging="510"/>
        <w:jc w:val="both"/>
        <w:rPr>
          <w:rFonts w:ascii="Arial" w:hAnsi="Arial" w:cs="Arial"/>
          <w:color w:val="000000" w:themeColor="text1"/>
        </w:rPr>
      </w:pPr>
    </w:p>
    <w:p w14:paraId="54EA18CD" w14:textId="1F54B7BD" w:rsidR="00D256DA" w:rsidRDefault="00D15AD8" w:rsidP="007E3119">
      <w:pPr>
        <w:pStyle w:val="legclearfix"/>
        <w:tabs>
          <w:tab w:val="left" w:pos="510"/>
          <w:tab w:val="left" w:pos="1077"/>
          <w:tab w:val="left" w:pos="1797"/>
        </w:tabs>
        <w:spacing w:before="0" w:beforeAutospacing="0" w:after="0" w:afterAutospacing="0"/>
        <w:ind w:left="510" w:right="57" w:hanging="510"/>
        <w:jc w:val="both"/>
        <w:rPr>
          <w:rStyle w:val="legds"/>
          <w:rFonts w:ascii="Arial" w:hAnsi="Arial" w:cs="Arial"/>
          <w:color w:val="000000" w:themeColor="text1"/>
        </w:rPr>
      </w:pPr>
      <w:r>
        <w:rPr>
          <w:rStyle w:val="legds"/>
          <w:rFonts w:ascii="Arial" w:hAnsi="Arial" w:cs="Arial"/>
          <w:color w:val="000000" w:themeColor="text1"/>
        </w:rPr>
        <w:tab/>
      </w:r>
      <w:r w:rsidR="00D256DA" w:rsidRPr="00A319C2">
        <w:rPr>
          <w:rStyle w:val="legds"/>
          <w:rFonts w:ascii="Arial" w:hAnsi="Arial" w:cs="Arial"/>
          <w:color w:val="000000" w:themeColor="text1"/>
        </w:rPr>
        <w:t>(4) Subsection (1) does not affect the operation of statutory provisions that provide for amounts to be treated as earnings (and see section 721(7)).</w:t>
      </w:r>
    </w:p>
    <w:p w14:paraId="59C04CFA" w14:textId="77777777" w:rsidR="00D15AD8" w:rsidRPr="00A319C2" w:rsidRDefault="00D15AD8" w:rsidP="007E3119">
      <w:pPr>
        <w:pStyle w:val="legclearfix"/>
        <w:tabs>
          <w:tab w:val="left" w:pos="510"/>
          <w:tab w:val="left" w:pos="1077"/>
          <w:tab w:val="left" w:pos="1797"/>
        </w:tabs>
        <w:spacing w:before="0" w:beforeAutospacing="0" w:after="0" w:afterAutospacing="0"/>
        <w:ind w:right="57"/>
        <w:rPr>
          <w:rFonts w:ascii="Arial" w:hAnsi="Arial" w:cs="Arial"/>
          <w:color w:val="000000" w:themeColor="text1"/>
        </w:rPr>
      </w:pPr>
    </w:p>
    <w:p w14:paraId="33C64A17" w14:textId="59F7037A"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19.</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particular provision which is central to the reasoning applied by the tribunal in this case is regulation 62 of the UC Regulations. </w:t>
      </w:r>
      <w:r w:rsidR="00D15AD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This was subsequently amended from 16 November 2020 but at the material time read:</w:t>
      </w:r>
    </w:p>
    <w:p w14:paraId="5915111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183EB804" w14:textId="1CF5A999" w:rsidR="00D256DA" w:rsidRPr="00A319C2" w:rsidRDefault="00D15AD8"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62.</w:t>
      </w:r>
      <w:proofErr w:type="gramStart"/>
      <w:r w:rsidR="00D256DA" w:rsidRPr="00A319C2">
        <w:rPr>
          <w:rFonts w:ascii="Arial" w:hAnsi="Arial" w:cs="Arial"/>
          <w:color w:val="000000" w:themeColor="text1"/>
          <w:sz w:val="24"/>
          <w:szCs w:val="24"/>
        </w:rPr>
        <w:t>—(</w:t>
      </w:r>
      <w:proofErr w:type="gramEnd"/>
      <w:r w:rsidR="00D256DA" w:rsidRPr="00A319C2">
        <w:rPr>
          <w:rFonts w:ascii="Arial" w:hAnsi="Arial" w:cs="Arial"/>
          <w:color w:val="000000" w:themeColor="text1"/>
          <w:sz w:val="24"/>
          <w:szCs w:val="24"/>
        </w:rPr>
        <w:t>1) Unless paragraph (2) applies, a person shall provide such information for the purposes of calculating their earned income at such times as the Department may require.</w:t>
      </w:r>
    </w:p>
    <w:p w14:paraId="39263E8E"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0B3AA3E8" w14:textId="7752E828" w:rsidR="00D256DA" w:rsidRPr="00A319C2" w:rsidRDefault="00D15AD8"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(2) Where a person is, or has been, engaged in an employment in respect of which their employer is a Real Time Information employer—</w:t>
      </w:r>
    </w:p>
    <w:p w14:paraId="63AEB859"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40E30998" w14:textId="3F6CB876" w:rsidR="00D256DA" w:rsidRPr="00A319C2" w:rsidRDefault="00D15AD8" w:rsidP="007E3119">
      <w:pPr>
        <w:tabs>
          <w:tab w:val="left" w:pos="510"/>
          <w:tab w:val="left" w:pos="1077"/>
          <w:tab w:val="left" w:pos="1797"/>
        </w:tabs>
        <w:spacing w:after="0" w:line="240" w:lineRule="auto"/>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D256DA" w:rsidRPr="00A319C2">
        <w:rPr>
          <w:rFonts w:ascii="Arial" w:hAnsi="Arial" w:cs="Arial"/>
          <w:color w:val="000000" w:themeColor="text1"/>
          <w:sz w:val="24"/>
          <w:szCs w:val="24"/>
        </w:rPr>
        <w:t>(a)</w:t>
      </w:r>
      <w:r>
        <w:rPr>
          <w:rFonts w:ascii="Arial" w:hAnsi="Arial" w:cs="Arial"/>
          <w:color w:val="000000" w:themeColor="text1"/>
          <w:sz w:val="24"/>
          <w:szCs w:val="24"/>
        </w:rPr>
        <w:tab/>
      </w:r>
      <w:r w:rsidR="00D256DA" w:rsidRPr="00A319C2">
        <w:rPr>
          <w:rFonts w:ascii="Arial" w:hAnsi="Arial" w:cs="Arial"/>
          <w:color w:val="000000" w:themeColor="text1"/>
          <w:sz w:val="24"/>
          <w:szCs w:val="24"/>
        </w:rPr>
        <w:t>the amount of the person’s employed earnings from that employment in respect of each assessment period is to be based on the information reported to HMRC under the PAYE Regulations and received by the Department from HMRC in that assessment period; and</w:t>
      </w:r>
    </w:p>
    <w:p w14:paraId="60F3EF33" w14:textId="77777777" w:rsidR="00D256DA" w:rsidRPr="00A319C2" w:rsidRDefault="00D256DA" w:rsidP="007E3119">
      <w:pPr>
        <w:tabs>
          <w:tab w:val="left" w:pos="510"/>
          <w:tab w:val="left" w:pos="1077"/>
          <w:tab w:val="left" w:pos="1797"/>
        </w:tabs>
        <w:spacing w:after="0" w:line="240" w:lineRule="auto"/>
        <w:ind w:left="1797" w:right="57" w:hanging="1797"/>
        <w:jc w:val="both"/>
        <w:rPr>
          <w:rFonts w:ascii="Arial" w:hAnsi="Arial" w:cs="Arial"/>
          <w:color w:val="000000" w:themeColor="text1"/>
          <w:sz w:val="24"/>
          <w:szCs w:val="24"/>
        </w:rPr>
      </w:pPr>
    </w:p>
    <w:p w14:paraId="092C4F59" w14:textId="7939F4AE" w:rsidR="00D256DA" w:rsidRPr="00A319C2" w:rsidRDefault="00D15AD8" w:rsidP="007E3119">
      <w:pPr>
        <w:tabs>
          <w:tab w:val="left" w:pos="510"/>
          <w:tab w:val="left" w:pos="1077"/>
          <w:tab w:val="left" w:pos="1797"/>
        </w:tabs>
        <w:spacing w:after="0" w:line="240" w:lineRule="auto"/>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D256DA" w:rsidRPr="00A319C2">
        <w:rPr>
          <w:rFonts w:ascii="Arial" w:hAnsi="Arial" w:cs="Arial"/>
          <w:color w:val="000000" w:themeColor="text1"/>
          <w:sz w:val="24"/>
          <w:szCs w:val="24"/>
        </w:rPr>
        <w:t>(b)</w:t>
      </w:r>
      <w:r>
        <w:rPr>
          <w:rFonts w:ascii="Arial" w:hAnsi="Arial" w:cs="Arial"/>
          <w:color w:val="000000" w:themeColor="text1"/>
          <w:sz w:val="24"/>
          <w:szCs w:val="24"/>
        </w:rPr>
        <w:tab/>
      </w:r>
      <w:r w:rsidR="00D256DA" w:rsidRPr="00A319C2">
        <w:rPr>
          <w:rFonts w:ascii="Arial" w:hAnsi="Arial" w:cs="Arial"/>
          <w:color w:val="000000" w:themeColor="text1"/>
          <w:sz w:val="24"/>
          <w:szCs w:val="24"/>
        </w:rPr>
        <w:t>in respect of an assessment period in which no information is received from HMRC, the amount of employed earnings in relation to that employment is to be taken to be nil.</w:t>
      </w:r>
    </w:p>
    <w:p w14:paraId="03ECB851"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B67AAA2" w14:textId="56AA2036" w:rsidR="00D256DA"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t xml:space="preserve">(3) </w:t>
      </w:r>
      <w:r w:rsidR="00D256DA" w:rsidRPr="00A319C2">
        <w:rPr>
          <w:rFonts w:ascii="Arial" w:hAnsi="Arial" w:cs="Arial"/>
          <w:color w:val="000000" w:themeColor="text1"/>
          <w:sz w:val="24"/>
          <w:szCs w:val="24"/>
        </w:rPr>
        <w:t>The Department may determine that paragraph (2) does not apply in respect of</w:t>
      </w:r>
      <w:r w:rsidR="00D256DA" w:rsidRPr="00A319C2">
        <w:rPr>
          <w:rFonts w:ascii="Arial" w:hAnsi="Arial" w:cs="Arial"/>
          <w:color w:val="000000" w:themeColor="text1"/>
          <w:spacing w:val="-22"/>
          <w:sz w:val="24"/>
          <w:szCs w:val="24"/>
        </w:rPr>
        <w:t xml:space="preserve"> </w:t>
      </w:r>
      <w:r w:rsidR="00D256DA" w:rsidRPr="00A319C2">
        <w:rPr>
          <w:rFonts w:ascii="Arial" w:hAnsi="Arial" w:cs="Arial"/>
          <w:color w:val="000000" w:themeColor="text1"/>
          <w:sz w:val="24"/>
          <w:szCs w:val="24"/>
        </w:rPr>
        <w:t>—</w:t>
      </w:r>
    </w:p>
    <w:p w14:paraId="0A4A083C" w14:textId="77777777" w:rsidR="00D15AD8"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4309CCF6" w14:textId="48D80D38" w:rsidR="00D256DA" w:rsidRDefault="00D15AD8"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256DA" w:rsidRPr="00A319C2">
        <w:rPr>
          <w:rFonts w:ascii="Arial" w:hAnsi="Arial" w:cs="Arial"/>
          <w:color w:val="000000" w:themeColor="text1"/>
          <w:sz w:val="24"/>
          <w:szCs w:val="24"/>
        </w:rPr>
        <w:t>a particular employment, where it considers that the information from the employer is unlikely to be sufficiently accurate or timely,</w:t>
      </w:r>
      <w:r w:rsidR="00D256DA" w:rsidRPr="00A319C2">
        <w:rPr>
          <w:rFonts w:ascii="Arial" w:hAnsi="Arial" w:cs="Arial"/>
          <w:color w:val="000000" w:themeColor="text1"/>
          <w:spacing w:val="-13"/>
          <w:sz w:val="24"/>
          <w:szCs w:val="24"/>
        </w:rPr>
        <w:t xml:space="preserve"> </w:t>
      </w:r>
      <w:r w:rsidR="00D256DA" w:rsidRPr="00A319C2">
        <w:rPr>
          <w:rFonts w:ascii="Arial" w:hAnsi="Arial" w:cs="Arial"/>
          <w:color w:val="000000" w:themeColor="text1"/>
          <w:sz w:val="24"/>
          <w:szCs w:val="24"/>
        </w:rPr>
        <w:t>or</w:t>
      </w:r>
    </w:p>
    <w:p w14:paraId="15D2233A" w14:textId="77777777" w:rsidR="00D15AD8" w:rsidRPr="00A319C2" w:rsidRDefault="00D15AD8"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6A08D77A" w14:textId="649C68F1" w:rsidR="00D256DA" w:rsidRDefault="00D15AD8"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256DA" w:rsidRPr="00A319C2">
        <w:rPr>
          <w:rFonts w:ascii="Arial" w:hAnsi="Arial" w:cs="Arial"/>
          <w:color w:val="000000" w:themeColor="text1"/>
          <w:sz w:val="24"/>
          <w:szCs w:val="24"/>
        </w:rPr>
        <w:t>a particular assessment period</w:t>
      </w:r>
      <w:r w:rsidR="00D256DA" w:rsidRPr="00A319C2">
        <w:rPr>
          <w:rFonts w:ascii="Arial" w:hAnsi="Arial" w:cs="Arial"/>
          <w:color w:val="000000" w:themeColor="text1"/>
          <w:spacing w:val="-3"/>
          <w:sz w:val="24"/>
          <w:szCs w:val="24"/>
        </w:rPr>
        <w:t xml:space="preserve"> </w:t>
      </w:r>
      <w:r w:rsidR="00D256DA" w:rsidRPr="00A319C2">
        <w:rPr>
          <w:rFonts w:ascii="Arial" w:hAnsi="Arial" w:cs="Arial"/>
          <w:color w:val="000000" w:themeColor="text1"/>
          <w:sz w:val="24"/>
          <w:szCs w:val="24"/>
        </w:rPr>
        <w:t>where—</w:t>
      </w:r>
    </w:p>
    <w:p w14:paraId="024B9342" w14:textId="77777777" w:rsidR="00D15AD8"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703F428D" w14:textId="4D0F1F06" w:rsidR="00D256DA" w:rsidRPr="00A319C2" w:rsidRDefault="00D15AD8" w:rsidP="007E3119">
      <w:pPr>
        <w:pStyle w:val="ListParagraph"/>
        <w:tabs>
          <w:tab w:val="left" w:pos="510"/>
          <w:tab w:val="left" w:pos="1077"/>
          <w:tab w:val="left" w:pos="1797"/>
        </w:tabs>
        <w:spacing w:before="0"/>
        <w:ind w:left="2268" w:right="57" w:hanging="2268"/>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no information is received from </w:t>
      </w:r>
      <w:proofErr w:type="gramStart"/>
      <w:r w:rsidR="00D256DA" w:rsidRPr="00A319C2">
        <w:rPr>
          <w:rFonts w:ascii="Arial" w:hAnsi="Arial" w:cs="Arial"/>
          <w:color w:val="000000" w:themeColor="text1"/>
          <w:sz w:val="24"/>
          <w:szCs w:val="24"/>
        </w:rPr>
        <w:t>HMRC</w:t>
      </w:r>
      <w:proofErr w:type="gramEnd"/>
      <w:r w:rsidR="00D256DA" w:rsidRPr="00A319C2">
        <w:rPr>
          <w:rFonts w:ascii="Arial" w:hAnsi="Arial" w:cs="Arial"/>
          <w:color w:val="000000" w:themeColor="text1"/>
          <w:sz w:val="24"/>
          <w:szCs w:val="24"/>
        </w:rPr>
        <w:t xml:space="preserve"> and the Department considers that this is likely to be because of a failure to report information (which includes the failure of a computer system operated by HMRC, the employer or any other person),</w:t>
      </w:r>
      <w:r w:rsidR="00D256DA" w:rsidRPr="00A319C2">
        <w:rPr>
          <w:rFonts w:ascii="Arial" w:hAnsi="Arial" w:cs="Arial"/>
          <w:color w:val="000000" w:themeColor="text1"/>
          <w:spacing w:val="-20"/>
          <w:sz w:val="24"/>
          <w:szCs w:val="24"/>
        </w:rPr>
        <w:t xml:space="preserve"> </w:t>
      </w:r>
      <w:r w:rsidR="00D256DA" w:rsidRPr="00A319C2">
        <w:rPr>
          <w:rFonts w:ascii="Arial" w:hAnsi="Arial" w:cs="Arial"/>
          <w:color w:val="000000" w:themeColor="text1"/>
          <w:sz w:val="24"/>
          <w:szCs w:val="24"/>
        </w:rPr>
        <w:t>or</w:t>
      </w:r>
    </w:p>
    <w:p w14:paraId="45E91641" w14:textId="77777777" w:rsidR="00512FED" w:rsidRPr="00A319C2" w:rsidRDefault="00512FED" w:rsidP="007E3119">
      <w:pPr>
        <w:pStyle w:val="ListParagraph"/>
        <w:tabs>
          <w:tab w:val="left" w:pos="510"/>
          <w:tab w:val="left" w:pos="1077"/>
          <w:tab w:val="left" w:pos="1797"/>
        </w:tabs>
        <w:spacing w:before="0"/>
        <w:ind w:left="2268" w:right="57" w:hanging="2268"/>
        <w:jc w:val="both"/>
        <w:rPr>
          <w:rFonts w:ascii="Arial" w:hAnsi="Arial" w:cs="Arial"/>
          <w:color w:val="000000" w:themeColor="text1"/>
          <w:sz w:val="24"/>
          <w:szCs w:val="24"/>
        </w:rPr>
      </w:pPr>
    </w:p>
    <w:p w14:paraId="1A079F58" w14:textId="244C96B2" w:rsidR="00D256DA" w:rsidRDefault="00D15AD8" w:rsidP="007E3119">
      <w:pPr>
        <w:pStyle w:val="ListParagraph"/>
        <w:tabs>
          <w:tab w:val="left" w:pos="510"/>
          <w:tab w:val="left" w:pos="1077"/>
          <w:tab w:val="left" w:pos="1797"/>
        </w:tabs>
        <w:spacing w:before="0"/>
        <w:ind w:left="2268" w:right="57" w:hanging="2268"/>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(ii)</w:t>
      </w:r>
      <w:r>
        <w:rPr>
          <w:rFonts w:ascii="Arial" w:hAnsi="Arial" w:cs="Arial"/>
          <w:color w:val="000000" w:themeColor="text1"/>
          <w:sz w:val="24"/>
          <w:szCs w:val="24"/>
        </w:rPr>
        <w:tab/>
      </w:r>
      <w:r w:rsidR="00D256DA" w:rsidRPr="00A319C2">
        <w:rPr>
          <w:rFonts w:ascii="Arial" w:hAnsi="Arial" w:cs="Arial"/>
          <w:color w:val="000000" w:themeColor="text1"/>
          <w:sz w:val="24"/>
          <w:szCs w:val="24"/>
        </w:rPr>
        <w:t>where the Department considers that the information received from HMRC is incorrect or fails to reflect the definition of employed earnings in regulation 55, in some material respect.</w:t>
      </w:r>
    </w:p>
    <w:p w14:paraId="427A9AC8" w14:textId="77777777" w:rsidR="00D15AD8"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3178C3BE" w14:textId="25C11E9B" w:rsidR="00D256DA"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t>(4)</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Where the Department determines that paragraph (2) does not apply, it must </w:t>
      </w:r>
      <w:proofErr w:type="gramStart"/>
      <w:r w:rsidR="00D256DA" w:rsidRPr="00A319C2">
        <w:rPr>
          <w:rFonts w:ascii="Arial" w:hAnsi="Arial" w:cs="Arial"/>
          <w:color w:val="000000" w:themeColor="text1"/>
          <w:sz w:val="24"/>
          <w:szCs w:val="24"/>
        </w:rPr>
        <w:t>make a decision</w:t>
      </w:r>
      <w:proofErr w:type="gramEnd"/>
      <w:r w:rsidR="00D256DA" w:rsidRPr="00A319C2">
        <w:rPr>
          <w:rFonts w:ascii="Arial" w:hAnsi="Arial" w:cs="Arial"/>
          <w:color w:val="000000" w:themeColor="text1"/>
          <w:sz w:val="24"/>
          <w:szCs w:val="24"/>
        </w:rPr>
        <w:t xml:space="preserve"> as to the amount of the person’s employed earnings for the assessment period in accordance with regulation 55 (employed earnings) using such information or evidence as it thinks</w:t>
      </w:r>
      <w:r w:rsidR="00D256DA" w:rsidRPr="00A319C2">
        <w:rPr>
          <w:rFonts w:ascii="Arial" w:hAnsi="Arial" w:cs="Arial"/>
          <w:color w:val="000000" w:themeColor="text1"/>
          <w:spacing w:val="-18"/>
          <w:sz w:val="24"/>
          <w:szCs w:val="24"/>
        </w:rPr>
        <w:t xml:space="preserve"> </w:t>
      </w:r>
      <w:r w:rsidR="00D256DA" w:rsidRPr="00A319C2">
        <w:rPr>
          <w:rFonts w:ascii="Arial" w:hAnsi="Arial" w:cs="Arial"/>
          <w:color w:val="000000" w:themeColor="text1"/>
          <w:sz w:val="24"/>
          <w:szCs w:val="24"/>
        </w:rPr>
        <w:t>fit.</w:t>
      </w:r>
    </w:p>
    <w:p w14:paraId="436BEFC8" w14:textId="77777777" w:rsidR="00D15AD8"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00FA2286" w14:textId="1F0856C7" w:rsidR="00D256DA"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t>(5)</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When the Department </w:t>
      </w:r>
      <w:proofErr w:type="gramStart"/>
      <w:r w:rsidR="00D256DA" w:rsidRPr="00A319C2">
        <w:rPr>
          <w:rFonts w:ascii="Arial" w:hAnsi="Arial" w:cs="Arial"/>
          <w:color w:val="000000" w:themeColor="text1"/>
          <w:sz w:val="24"/>
          <w:szCs w:val="24"/>
        </w:rPr>
        <w:t>makes a decision</w:t>
      </w:r>
      <w:proofErr w:type="gramEnd"/>
      <w:r w:rsidR="00D256DA" w:rsidRPr="00A319C2">
        <w:rPr>
          <w:rFonts w:ascii="Arial" w:hAnsi="Arial" w:cs="Arial"/>
          <w:color w:val="000000" w:themeColor="text1"/>
          <w:sz w:val="24"/>
          <w:szCs w:val="24"/>
        </w:rPr>
        <w:t xml:space="preserve"> in accordance with paragraph (4) it</w:t>
      </w:r>
      <w:r w:rsidR="00D256DA" w:rsidRPr="00A319C2">
        <w:rPr>
          <w:rFonts w:ascii="Arial" w:hAnsi="Arial" w:cs="Arial"/>
          <w:color w:val="000000" w:themeColor="text1"/>
          <w:spacing w:val="-16"/>
          <w:sz w:val="24"/>
          <w:szCs w:val="24"/>
        </w:rPr>
        <w:t xml:space="preserve"> </w:t>
      </w:r>
      <w:r w:rsidR="00D256DA" w:rsidRPr="00A319C2">
        <w:rPr>
          <w:rFonts w:ascii="Arial" w:hAnsi="Arial" w:cs="Arial"/>
          <w:color w:val="000000" w:themeColor="text1"/>
          <w:sz w:val="24"/>
          <w:szCs w:val="24"/>
        </w:rPr>
        <w:t>may—</w:t>
      </w:r>
    </w:p>
    <w:p w14:paraId="695A1317" w14:textId="77777777" w:rsidR="00D15AD8"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170B21A2" w14:textId="35BC6296" w:rsidR="00D256DA" w:rsidRPr="00A319C2" w:rsidRDefault="00D15AD8"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D256DA" w:rsidRPr="00A319C2">
        <w:rPr>
          <w:rFonts w:ascii="Arial" w:hAnsi="Arial" w:cs="Arial"/>
          <w:color w:val="000000" w:themeColor="text1"/>
          <w:sz w:val="24"/>
          <w:szCs w:val="24"/>
        </w:rPr>
        <w:t>treat a payment of employed earnings received by the person in one assessment period as received in a later assessment period (for example where the Department has received information in that later period or would, if paragraph (2) applied, have expected to receive information about that payment from HMRC in that later period),</w:t>
      </w:r>
      <w:r w:rsidR="00D256DA" w:rsidRPr="00A319C2">
        <w:rPr>
          <w:rFonts w:ascii="Arial" w:hAnsi="Arial" w:cs="Arial"/>
          <w:color w:val="000000" w:themeColor="text1"/>
          <w:spacing w:val="-15"/>
          <w:sz w:val="24"/>
          <w:szCs w:val="24"/>
        </w:rPr>
        <w:t xml:space="preserve"> </w:t>
      </w:r>
      <w:r w:rsidR="00D256DA" w:rsidRPr="00A319C2">
        <w:rPr>
          <w:rFonts w:ascii="Arial" w:hAnsi="Arial" w:cs="Arial"/>
          <w:color w:val="000000" w:themeColor="text1"/>
          <w:sz w:val="24"/>
          <w:szCs w:val="24"/>
        </w:rPr>
        <w:t>or</w:t>
      </w:r>
    </w:p>
    <w:p w14:paraId="21160B1D" w14:textId="77777777" w:rsidR="00D256DA" w:rsidRPr="00A319C2" w:rsidRDefault="00D256DA"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p>
    <w:p w14:paraId="65B50C8C" w14:textId="122CA645" w:rsidR="00D256DA" w:rsidRDefault="00D15AD8" w:rsidP="007E3119">
      <w:pPr>
        <w:pStyle w:val="ListParagraph"/>
        <w:tabs>
          <w:tab w:val="left" w:pos="510"/>
          <w:tab w:val="left" w:pos="1077"/>
          <w:tab w:val="left" w:pos="1797"/>
        </w:tabs>
        <w:spacing w:before="0"/>
        <w:ind w:left="1797" w:right="5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(ii)</w:t>
      </w: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where a payment of employed earnings has been </w:t>
      </w:r>
      <w:proofErr w:type="gramStart"/>
      <w:r w:rsidR="00D256DA" w:rsidRPr="00A319C2">
        <w:rPr>
          <w:rFonts w:ascii="Arial" w:hAnsi="Arial" w:cs="Arial"/>
          <w:color w:val="000000" w:themeColor="text1"/>
          <w:sz w:val="24"/>
          <w:szCs w:val="24"/>
        </w:rPr>
        <w:t>taken into account</w:t>
      </w:r>
      <w:proofErr w:type="gramEnd"/>
      <w:r w:rsidR="00D256DA" w:rsidRPr="00A319C2">
        <w:rPr>
          <w:rFonts w:ascii="Arial" w:hAnsi="Arial" w:cs="Arial"/>
          <w:color w:val="000000" w:themeColor="text1"/>
          <w:sz w:val="24"/>
          <w:szCs w:val="24"/>
        </w:rPr>
        <w:t xml:space="preserve"> in that decision, disregard information about the same payment which is received from</w:t>
      </w:r>
      <w:r w:rsidR="00D256DA" w:rsidRPr="00A319C2">
        <w:rPr>
          <w:rFonts w:ascii="Arial" w:hAnsi="Arial" w:cs="Arial"/>
          <w:color w:val="000000" w:themeColor="text1"/>
          <w:spacing w:val="-14"/>
          <w:sz w:val="24"/>
          <w:szCs w:val="24"/>
        </w:rPr>
        <w:t xml:space="preserve"> </w:t>
      </w:r>
      <w:r w:rsidR="00D256DA" w:rsidRPr="00A319C2">
        <w:rPr>
          <w:rFonts w:ascii="Arial" w:hAnsi="Arial" w:cs="Arial"/>
          <w:color w:val="000000" w:themeColor="text1"/>
          <w:sz w:val="24"/>
          <w:szCs w:val="24"/>
        </w:rPr>
        <w:t>HMRC.</w:t>
      </w:r>
    </w:p>
    <w:p w14:paraId="55F35219" w14:textId="77777777" w:rsidR="00D15AD8"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p>
    <w:p w14:paraId="6DAF311C" w14:textId="72A1694A" w:rsidR="00D256DA" w:rsidRPr="00A319C2" w:rsidRDefault="00D15AD8" w:rsidP="007E3119">
      <w:pPr>
        <w:pStyle w:val="ListParagraph"/>
        <w:tabs>
          <w:tab w:val="left" w:pos="510"/>
          <w:tab w:val="left" w:pos="1077"/>
          <w:tab w:val="left" w:pos="1797"/>
        </w:tabs>
        <w:spacing w:before="0"/>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(6) …</w:t>
      </w:r>
    </w:p>
    <w:p w14:paraId="74FBE406"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7E67A6E6" w14:textId="43E9A53F" w:rsidR="00D256DA" w:rsidRPr="00A319C2" w:rsidRDefault="00D15AD8" w:rsidP="007E3119">
      <w:pPr>
        <w:tabs>
          <w:tab w:val="left" w:pos="510"/>
          <w:tab w:val="left" w:pos="1077"/>
          <w:tab w:val="left" w:pos="1797"/>
        </w:tabs>
        <w:spacing w:after="0" w:line="240" w:lineRule="auto"/>
        <w:ind w:right="57"/>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The tribunal’s decision</w:t>
      </w:r>
    </w:p>
    <w:p w14:paraId="697AB4F9"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237D9232" w14:textId="074940AE"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20.</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The LQM of the tribunal has provided a statement of reasons for his decision.</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From this I can see that he had </w:t>
      </w:r>
      <w:proofErr w:type="gramStart"/>
      <w:r w:rsidR="00D256DA" w:rsidRPr="00A319C2">
        <w:rPr>
          <w:rFonts w:ascii="Arial" w:hAnsi="Arial" w:cs="Arial"/>
          <w:color w:val="000000" w:themeColor="text1"/>
          <w:sz w:val="24"/>
          <w:szCs w:val="24"/>
        </w:rPr>
        <w:t>a number of</w:t>
      </w:r>
      <w:proofErr w:type="gramEnd"/>
      <w:r w:rsidR="00D256DA" w:rsidRPr="00A319C2">
        <w:rPr>
          <w:rFonts w:ascii="Arial" w:hAnsi="Arial" w:cs="Arial"/>
          <w:color w:val="000000" w:themeColor="text1"/>
          <w:sz w:val="24"/>
          <w:szCs w:val="24"/>
        </w:rPr>
        <w:t xml:space="preserve"> documents before him, including the Department’s submission, which placed reliance on its guidance in Advice for Decision Makers H3191, and included a copy of the online UC claim form, the system decision, earnings details provided by HMRC, and the reconsideration request and decision.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tribunal also had received copies of the respondent’s bank statements for the time around the assessment period.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applicant attended the hearing and gave oral </w:t>
      </w:r>
      <w:proofErr w:type="gramStart"/>
      <w:r w:rsidR="00D256DA" w:rsidRPr="00A319C2">
        <w:rPr>
          <w:rFonts w:ascii="Arial" w:hAnsi="Arial" w:cs="Arial"/>
          <w:color w:val="000000" w:themeColor="text1"/>
          <w:sz w:val="24"/>
          <w:szCs w:val="24"/>
        </w:rPr>
        <w:t>evidence, but</w:t>
      </w:r>
      <w:proofErr w:type="gramEnd"/>
      <w:r w:rsidR="00D256DA" w:rsidRPr="00A319C2">
        <w:rPr>
          <w:rFonts w:ascii="Arial" w:hAnsi="Arial" w:cs="Arial"/>
          <w:color w:val="000000" w:themeColor="text1"/>
          <w:sz w:val="24"/>
          <w:szCs w:val="24"/>
        </w:rPr>
        <w:t xml:space="preserve"> was not represented.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The Department was not represented.</w:t>
      </w:r>
    </w:p>
    <w:p w14:paraId="235E448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278E4DC" w14:textId="204C1D9E"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21.</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tribunal accepted the evidence of the respondent to the effect that he stopped work on 9 November 2018, and that he claimed UC on 19 November 2018.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did not work in the subsequent assessment period from 18 November 2018 to </w:t>
      </w:r>
      <w:r w:rsidRPr="00A319C2">
        <w:rPr>
          <w:rFonts w:ascii="Arial" w:hAnsi="Arial" w:cs="Arial"/>
          <w:color w:val="000000" w:themeColor="text1"/>
          <w:sz w:val="24"/>
          <w:szCs w:val="24"/>
        </w:rPr>
        <w:t>19 December 2018 but</w:t>
      </w:r>
      <w:r w:rsidR="00D256DA" w:rsidRPr="00A319C2">
        <w:rPr>
          <w:rFonts w:ascii="Arial" w:hAnsi="Arial" w:cs="Arial"/>
          <w:color w:val="000000" w:themeColor="text1"/>
          <w:sz w:val="24"/>
          <w:szCs w:val="24"/>
        </w:rPr>
        <w:t xml:space="preserve"> received payments for earlier work done.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question was whether earnings for work done before the UC claim, but received in the assessment period after the claim, must be </w:t>
      </w:r>
      <w:proofErr w:type="gramStart"/>
      <w:r w:rsidR="00D256DA" w:rsidRPr="00A319C2">
        <w:rPr>
          <w:rFonts w:ascii="Arial" w:hAnsi="Arial" w:cs="Arial"/>
          <w:color w:val="000000" w:themeColor="text1"/>
          <w:sz w:val="24"/>
          <w:szCs w:val="24"/>
        </w:rPr>
        <w:t>taken into account</w:t>
      </w:r>
      <w:proofErr w:type="gramEnd"/>
      <w:r w:rsidR="00D256DA" w:rsidRPr="00A319C2">
        <w:rPr>
          <w:rFonts w:ascii="Arial" w:hAnsi="Arial" w:cs="Arial"/>
          <w:color w:val="000000" w:themeColor="text1"/>
          <w:sz w:val="24"/>
          <w:szCs w:val="24"/>
        </w:rPr>
        <w:t xml:space="preserve">.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tribunal applied regulation 53 of the UC Regulations, which provides that a person’s earned income in respect of an assessment period is to be based on the actual amounts received in that period.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It reasoned that earnings received in an assessment period should not be earnings for any other period.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On the basis that the respondent’s earnings </w:t>
      </w:r>
      <w:r w:rsidR="00D256DA" w:rsidRPr="00A319C2">
        <w:rPr>
          <w:rFonts w:ascii="Arial" w:hAnsi="Arial" w:cs="Arial"/>
          <w:color w:val="000000" w:themeColor="text1"/>
          <w:sz w:val="24"/>
          <w:szCs w:val="24"/>
          <w:u w:val="single"/>
        </w:rPr>
        <w:t>in</w:t>
      </w:r>
      <w:r w:rsidR="00D256DA" w:rsidRPr="00A319C2">
        <w:rPr>
          <w:rFonts w:ascii="Arial" w:hAnsi="Arial" w:cs="Arial"/>
          <w:color w:val="000000" w:themeColor="text1"/>
          <w:sz w:val="24"/>
          <w:szCs w:val="24"/>
        </w:rPr>
        <w:t xml:space="preserve"> the </w:t>
      </w:r>
      <w:proofErr w:type="gramStart"/>
      <w:r w:rsidR="00D256DA" w:rsidRPr="00A319C2">
        <w:rPr>
          <w:rFonts w:ascii="Arial" w:hAnsi="Arial" w:cs="Arial"/>
          <w:color w:val="000000" w:themeColor="text1"/>
          <w:sz w:val="24"/>
          <w:szCs w:val="24"/>
        </w:rPr>
        <w:t>particular assessment</w:t>
      </w:r>
      <w:proofErr w:type="gramEnd"/>
      <w:r w:rsidR="00D256DA" w:rsidRPr="00A319C2">
        <w:rPr>
          <w:rFonts w:ascii="Arial" w:hAnsi="Arial" w:cs="Arial"/>
          <w:color w:val="000000" w:themeColor="text1"/>
          <w:sz w:val="24"/>
          <w:szCs w:val="24"/>
        </w:rPr>
        <w:t xml:space="preserve"> period were not </w:t>
      </w:r>
      <w:r w:rsidR="00D256DA" w:rsidRPr="00A319C2">
        <w:rPr>
          <w:rFonts w:ascii="Arial" w:hAnsi="Arial" w:cs="Arial"/>
          <w:color w:val="000000" w:themeColor="text1"/>
          <w:sz w:val="24"/>
          <w:szCs w:val="24"/>
          <w:u w:val="single"/>
        </w:rPr>
        <w:t>for</w:t>
      </w:r>
      <w:r w:rsidR="00D256DA" w:rsidRPr="00A319C2">
        <w:rPr>
          <w:rFonts w:ascii="Arial" w:hAnsi="Arial" w:cs="Arial"/>
          <w:color w:val="000000" w:themeColor="text1"/>
          <w:sz w:val="24"/>
          <w:szCs w:val="24"/>
        </w:rPr>
        <w:t xml:space="preserve"> that particular assessment period, it found for the respondent.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It was satisfied that, as the earnings were earned outside that employment period, they were not for that assessment period. </w:t>
      </w:r>
      <w:r w:rsidR="000C64FE">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It considered that its reasoning was fortified by regulation 62(2)(a) of the UC Regulations.</w:t>
      </w:r>
    </w:p>
    <w:p w14:paraId="22F0ADA1"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0641CDF0" w14:textId="2318F8B6" w:rsidR="00D256DA" w:rsidRPr="00A319C2" w:rsidRDefault="000C64FE" w:rsidP="007E3119">
      <w:pPr>
        <w:tabs>
          <w:tab w:val="left" w:pos="510"/>
          <w:tab w:val="left" w:pos="1077"/>
          <w:tab w:val="left" w:pos="1797"/>
        </w:tabs>
        <w:spacing w:after="0" w:line="240" w:lineRule="auto"/>
        <w:ind w:right="57"/>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Hearing and submissions</w:t>
      </w:r>
    </w:p>
    <w:p w14:paraId="25861880"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2466B5B4" w14:textId="32363076"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22.</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I held an oral hearing of the appeal.</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Mr Rush of DMS appeared for the Department and Mr McCloskey of Law Centre NI appeared for the respondent.</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 am grateful to them for their helpful submissions.</w:t>
      </w:r>
    </w:p>
    <w:p w14:paraId="13556DA5"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4F5C0FB5" w14:textId="6E9A23D6"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23.</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Mr Rush submitted that the correct approach to interpretation to the legislation in question, while in respect of the equivalent Great Britain legislation, had been given by the Court of Appeal in England and Wales (EWCA) in </w:t>
      </w:r>
      <w:r w:rsidR="00D256DA" w:rsidRPr="00A319C2">
        <w:rPr>
          <w:rFonts w:ascii="Arial" w:hAnsi="Arial" w:cs="Arial"/>
          <w:i/>
          <w:color w:val="000000" w:themeColor="text1"/>
          <w:sz w:val="24"/>
          <w:szCs w:val="24"/>
        </w:rPr>
        <w:t>Secretary of State for Work and Pensions v Johnson</w:t>
      </w:r>
      <w:r w:rsidR="00D256DA" w:rsidRPr="00A319C2">
        <w:rPr>
          <w:rFonts w:ascii="Arial" w:hAnsi="Arial" w:cs="Arial"/>
          <w:color w:val="000000" w:themeColor="text1"/>
          <w:sz w:val="24"/>
          <w:szCs w:val="24"/>
        </w:rPr>
        <w:t xml:space="preserve"> [2020] EWCA </w:t>
      </w:r>
      <w:proofErr w:type="spellStart"/>
      <w:r w:rsidR="00D256DA" w:rsidRPr="00A319C2">
        <w:rPr>
          <w:rFonts w:ascii="Arial" w:hAnsi="Arial" w:cs="Arial"/>
          <w:color w:val="000000" w:themeColor="text1"/>
          <w:sz w:val="24"/>
          <w:szCs w:val="24"/>
        </w:rPr>
        <w:t>Civ</w:t>
      </w:r>
      <w:proofErr w:type="spellEnd"/>
      <w:r w:rsidR="00D256DA" w:rsidRPr="00A319C2">
        <w:rPr>
          <w:rFonts w:ascii="Arial" w:hAnsi="Arial" w:cs="Arial"/>
          <w:color w:val="000000" w:themeColor="text1"/>
          <w:sz w:val="24"/>
          <w:szCs w:val="24"/>
        </w:rPr>
        <w:t xml:space="preserve"> 778.</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He submitted that the decision of the EWCA confirmed that it is the actual amount which is received in an assessment period which must be </w:t>
      </w:r>
      <w:proofErr w:type="gramStart"/>
      <w:r w:rsidR="00D256DA" w:rsidRPr="00A319C2">
        <w:rPr>
          <w:rFonts w:ascii="Arial" w:hAnsi="Arial" w:cs="Arial"/>
          <w:color w:val="000000" w:themeColor="text1"/>
          <w:sz w:val="24"/>
          <w:szCs w:val="24"/>
        </w:rPr>
        <w:t>taken into account</w:t>
      </w:r>
      <w:proofErr w:type="gramEnd"/>
      <w:r w:rsidR="00D256DA" w:rsidRPr="00A319C2">
        <w:rPr>
          <w:rFonts w:ascii="Arial" w:hAnsi="Arial" w:cs="Arial"/>
          <w:color w:val="000000" w:themeColor="text1"/>
          <w:sz w:val="24"/>
          <w:szCs w:val="24"/>
        </w:rPr>
        <w:t xml:space="preserve"> when assessing a claimant’s earnings, subject to any modifications set out in the 2016 Regulations.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While not binding, he submitted that the decision of the EWCA should be followed in Northern Ireland.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further relied upon the subsequent decision of Upper Tribunal Judge Jacobs in </w:t>
      </w:r>
      <w:r w:rsidR="00D256DA" w:rsidRPr="00A319C2">
        <w:rPr>
          <w:rFonts w:ascii="Arial" w:hAnsi="Arial" w:cs="Arial"/>
          <w:i/>
          <w:color w:val="000000" w:themeColor="text1"/>
          <w:sz w:val="24"/>
          <w:szCs w:val="24"/>
        </w:rPr>
        <w:t>NM v Secretary of State for Work and Pensions</w:t>
      </w:r>
      <w:r w:rsidR="00D256DA" w:rsidRPr="00A319C2">
        <w:rPr>
          <w:rFonts w:ascii="Arial" w:hAnsi="Arial" w:cs="Arial"/>
          <w:color w:val="000000" w:themeColor="text1"/>
          <w:sz w:val="24"/>
          <w:szCs w:val="24"/>
        </w:rPr>
        <w:t xml:space="preserve"> [2021] UKUT 46.</w:t>
      </w:r>
    </w:p>
    <w:p w14:paraId="60C2E053" w14:textId="77777777" w:rsidR="00512FED"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F24CCD6" w14:textId="66CB2D82"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24.</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Moreover, Mr Rush pointed out that the tribunal had expressly applied regulation 62 as amended by Regulation 2 of the Universal Credit (Earned Income) (Amendment) Regulations (NI) 2020.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He submitted that the amending regulation had come into operation on 16 November 2020 and could not be applied retrospectively to the decision of 28 December 2018.</w:t>
      </w:r>
    </w:p>
    <w:p w14:paraId="31D2EAC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0386E277" w14:textId="28D3C3F2"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25.</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Mr McCloskey candidly accepted that the tribunal had set out and applied a version of regulation 62 of the UC Regulations that only came into force from 16 November 2020.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As it had applied legislation that was not yet in force, he conceded that the tribunal had erred in law and accepted that I was required to set aside the tribunal decision.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Nevertheless, he indicated that issues of legal interpretation remained in dispute.</w:t>
      </w:r>
    </w:p>
    <w:p w14:paraId="68AAABD8"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68F7BA5" w14:textId="737FE058"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26.</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On this basis, Mr McCloskey asked me to set aside the tribunal decision but, rather than remit the appeal to a newly constituted tribunal, requested me to decide the appeal </w:t>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his further submissions of law.</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In particular, he wished to address the issue of permitted departure from regulation 55 further.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On the premise that the facts were agreed and that legal interpretations only were in dispute, the Department was content to proceed on that basis.</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 indicated that I would set aside the tribunal decision under Article 15(8)(a)(ii) of the Social Security (NI) Order </w:t>
      </w:r>
      <w:proofErr w:type="gramStart"/>
      <w:r w:rsidR="00D256DA" w:rsidRPr="00A319C2">
        <w:rPr>
          <w:rFonts w:ascii="Arial" w:hAnsi="Arial" w:cs="Arial"/>
          <w:color w:val="000000" w:themeColor="text1"/>
          <w:sz w:val="24"/>
          <w:szCs w:val="24"/>
        </w:rPr>
        <w:t>1998, and</w:t>
      </w:r>
      <w:proofErr w:type="gramEnd"/>
      <w:r w:rsidR="00D256DA" w:rsidRPr="00A319C2">
        <w:rPr>
          <w:rFonts w:ascii="Arial" w:hAnsi="Arial" w:cs="Arial"/>
          <w:color w:val="000000" w:themeColor="text1"/>
          <w:sz w:val="24"/>
          <w:szCs w:val="24"/>
        </w:rPr>
        <w:t xml:space="preserve"> proceeded to hear further legal submissions.</w:t>
      </w:r>
    </w:p>
    <w:p w14:paraId="798764A5"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5A2D09F2" w14:textId="2392ECFD"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27.</w:t>
      </w:r>
      <w:r w:rsidRPr="00A319C2">
        <w:rPr>
          <w:rFonts w:ascii="Arial" w:hAnsi="Arial" w:cs="Arial"/>
          <w:color w:val="000000" w:themeColor="text1"/>
          <w:sz w:val="24"/>
          <w:szCs w:val="24"/>
        </w:rPr>
        <w:tab/>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agreed evidence, which differed from that originally relied upon in the Departmental decision under appeal, Mr Rush submitted that two payments fell for consideration within the relevant assessment period, based on regulation 53 of the UC Regulations, as they were both received within the assessment period.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These were a payment of £404.34 made on 23 November 2018 and a payment of £225.52 made on 30 November 2018.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These were, he submitted, respectively a payment of final wages owed to the respondent and a payment of accrued holiday pay.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He submitted that these fell to be assessed as payments in respect of an assessment period under regulation 53(1).</w:t>
      </w:r>
    </w:p>
    <w:p w14:paraId="0CE37A6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0DDCAEEC" w14:textId="183BA2C2"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28.</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Mr McCloskey submitted that a matter that had not been considered judicially was something alluded to in the commentary to the current Sweet &amp; Maxwell’s Social Security Legislation 2021/22, volume II (see paragraph 2.226).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indicated that this had been also referred to in the previous year’s volume (2020/21, volume V) addressing the legislation in the form it took prior to 16 November 2020 and which has relevance in the circumstances of this </w:t>
      </w:r>
      <w:proofErr w:type="gramStart"/>
      <w:r w:rsidR="00D256DA" w:rsidRPr="00A319C2">
        <w:rPr>
          <w:rFonts w:ascii="Arial" w:hAnsi="Arial" w:cs="Arial"/>
          <w:color w:val="000000" w:themeColor="text1"/>
          <w:sz w:val="24"/>
          <w:szCs w:val="24"/>
        </w:rPr>
        <w:t>particular case</w:t>
      </w:r>
      <w:proofErr w:type="gramEnd"/>
      <w:r w:rsidR="00D256DA" w:rsidRPr="00A319C2">
        <w:rPr>
          <w:rFonts w:ascii="Arial" w:hAnsi="Arial" w:cs="Arial"/>
          <w:color w:val="000000" w:themeColor="text1"/>
          <w:sz w:val="24"/>
          <w:szCs w:val="24"/>
        </w:rPr>
        <w:t xml:space="preserve">.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He submitted that RTI could be departed from in certain circumstances, set out in regulation 62(3) of the UC Regulations.</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Mr McCloskey submitted that the RTI information in the instant case was incorrect, within the meaning of regulation 62(3)(b)(ii).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submitted that non-employed amounts were included and that the dates of the RTI payments were inaccurate.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However, that was not his principal argument.</w:t>
      </w:r>
    </w:p>
    <w:p w14:paraId="662F48DB"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3F0AF172" w14:textId="4A3BD4D1"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29.</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main submission advanced by Mr McCloskey was that RTI itself had a statutory origin in the Income Tax (Pay as You Earn) Regulations 2003 (the PAYE Regulations).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referred to the requirement on employers under regulation 67B of the PAYE Regulations to deliver information specified in Schedule A1 to the Regulations in accordance with the regulation.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made further reference to HMRC guidance to employers.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submitted that information should be provided by the employer to HMRC on or before the payment being made to the employee.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He submitted that HMRC instructions referred to the requirement to record payments on the date that the employee was entitled to be paid.</w:t>
      </w:r>
    </w:p>
    <w:p w14:paraId="21DD6DDE"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46CCB41E" w14:textId="660077E0"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30.</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Mr McCloskey submitted that the respondent was entitled to be paid on 16 November 2018, but that his employer failed to operate PAYE on the date he was entitled to be paid.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This meant that the information received from HMRC was incorrect in a material manner.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He submitted that the tribunal was not bound by regulation 62(2) and was entitled to apply regulation 65(2)(b) and disregard the information provided by HMRC, meaning that it should treat the earnings </w:t>
      </w:r>
      <w:proofErr w:type="gramStart"/>
      <w:r w:rsidR="00D256DA" w:rsidRPr="00A319C2">
        <w:rPr>
          <w:rFonts w:ascii="Arial" w:hAnsi="Arial" w:cs="Arial"/>
          <w:color w:val="000000" w:themeColor="text1"/>
          <w:sz w:val="24"/>
          <w:szCs w:val="24"/>
        </w:rPr>
        <w:t>actually received</w:t>
      </w:r>
      <w:proofErr w:type="gramEnd"/>
      <w:r w:rsidR="00D256DA" w:rsidRPr="00A319C2">
        <w:rPr>
          <w:rFonts w:ascii="Arial" w:hAnsi="Arial" w:cs="Arial"/>
          <w:color w:val="000000" w:themeColor="text1"/>
          <w:sz w:val="24"/>
          <w:szCs w:val="24"/>
        </w:rPr>
        <w:t xml:space="preserve"> on 23 November 2018 as received on 16 November 2018.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This would mean that the payment would not fall to be treated as made in the initial assessment period. </w:t>
      </w:r>
      <w:r w:rsidR="00840782">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He submitted that it was irrational to apply earnings which were reported incorrectly to the assessment period in which they were received.</w:t>
      </w:r>
    </w:p>
    <w:p w14:paraId="3626ADE7"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04EA49F1" w14:textId="17A04197" w:rsidR="00D256DA" w:rsidRPr="00A319C2" w:rsidRDefault="005A7D74" w:rsidP="007E3119">
      <w:pPr>
        <w:tabs>
          <w:tab w:val="left" w:pos="510"/>
          <w:tab w:val="left" w:pos="1077"/>
          <w:tab w:val="left" w:pos="1797"/>
        </w:tabs>
        <w:spacing w:after="0" w:line="240" w:lineRule="auto"/>
        <w:ind w:right="57"/>
        <w:rPr>
          <w:rFonts w:ascii="Arial" w:hAnsi="Arial" w:cs="Arial"/>
          <w:b/>
          <w:color w:val="000000" w:themeColor="text1"/>
          <w:sz w:val="24"/>
          <w:szCs w:val="24"/>
        </w:rPr>
      </w:pPr>
      <w:r>
        <w:rPr>
          <w:rFonts w:ascii="Arial" w:hAnsi="Arial" w:cs="Arial"/>
          <w:b/>
          <w:color w:val="000000" w:themeColor="text1"/>
          <w:sz w:val="24"/>
          <w:szCs w:val="24"/>
        </w:rPr>
        <w:tab/>
      </w:r>
      <w:r w:rsidR="00D256DA" w:rsidRPr="00A319C2">
        <w:rPr>
          <w:rFonts w:ascii="Arial" w:hAnsi="Arial" w:cs="Arial"/>
          <w:b/>
          <w:color w:val="000000" w:themeColor="text1"/>
          <w:sz w:val="24"/>
          <w:szCs w:val="24"/>
        </w:rPr>
        <w:t>Assessment</w:t>
      </w:r>
    </w:p>
    <w:p w14:paraId="2B235FEB" w14:textId="77777777" w:rsidR="00D256DA" w:rsidRPr="00A319C2" w:rsidRDefault="00D256DA"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07238B26" w14:textId="465BB9F4" w:rsidR="00D256DA" w:rsidRPr="00A319C2" w:rsidRDefault="005A7D74" w:rsidP="007E3119">
      <w:pPr>
        <w:tabs>
          <w:tab w:val="left" w:pos="510"/>
          <w:tab w:val="left" w:pos="1077"/>
          <w:tab w:val="left" w:pos="1797"/>
        </w:tabs>
        <w:spacing w:after="0" w:line="240" w:lineRule="auto"/>
        <w:ind w:left="510" w:right="57" w:hanging="510"/>
        <w:jc w:val="both"/>
        <w:rPr>
          <w:rFonts w:ascii="Arial" w:eastAsia="Times New Roman" w:hAnsi="Arial" w:cs="Arial"/>
          <w:color w:val="000000" w:themeColor="text1"/>
          <w:sz w:val="24"/>
          <w:szCs w:val="24"/>
          <w:lang w:eastAsia="en-GB"/>
        </w:rPr>
      </w:pP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As indicated above, the parties </w:t>
      </w:r>
      <w:proofErr w:type="gramStart"/>
      <w:r w:rsidR="00D256DA" w:rsidRPr="00A319C2">
        <w:rPr>
          <w:rFonts w:ascii="Arial" w:hAnsi="Arial" w:cs="Arial"/>
          <w:color w:val="000000" w:themeColor="text1"/>
          <w:sz w:val="24"/>
          <w:szCs w:val="24"/>
        </w:rPr>
        <w:t>were in agreement</w:t>
      </w:r>
      <w:proofErr w:type="gramEnd"/>
      <w:r w:rsidR="00D256DA" w:rsidRPr="00A319C2">
        <w:rPr>
          <w:rFonts w:ascii="Arial" w:hAnsi="Arial" w:cs="Arial"/>
          <w:color w:val="000000" w:themeColor="text1"/>
          <w:sz w:val="24"/>
          <w:szCs w:val="24"/>
        </w:rPr>
        <w:t xml:space="preserve"> that the tribunal had erred in law. </w:t>
      </w:r>
      <w:r>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submission of Mr Rush was that </w:t>
      </w:r>
      <w:r w:rsidR="00D256DA" w:rsidRPr="00A319C2">
        <w:rPr>
          <w:rFonts w:ascii="Arial" w:hAnsi="Arial" w:cs="Arial"/>
          <w:i/>
          <w:color w:val="000000" w:themeColor="text1"/>
          <w:sz w:val="24"/>
          <w:szCs w:val="24"/>
        </w:rPr>
        <w:t>Johnson</w:t>
      </w:r>
      <w:r w:rsidR="00D256DA" w:rsidRPr="00A319C2">
        <w:rPr>
          <w:rFonts w:ascii="Arial" w:hAnsi="Arial" w:cs="Arial"/>
          <w:color w:val="000000" w:themeColor="text1"/>
          <w:sz w:val="24"/>
          <w:szCs w:val="24"/>
        </w:rPr>
        <w:t xml:space="preserve"> should be followed in Northern Ireland.</w:t>
      </w:r>
      <w:r>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In fact, I have previously accepted, albeit reluctantly, in </w:t>
      </w:r>
      <w:r w:rsidR="00D256DA" w:rsidRPr="00A319C2">
        <w:rPr>
          <w:rFonts w:ascii="Arial" w:eastAsia="Times New Roman" w:hAnsi="Arial" w:cs="Arial"/>
          <w:i/>
          <w:color w:val="000000" w:themeColor="text1"/>
          <w:sz w:val="24"/>
          <w:szCs w:val="24"/>
          <w:lang w:val="en-US" w:eastAsia="en-GB"/>
        </w:rPr>
        <w:t>Department for Communities v RM</w:t>
      </w:r>
      <w:r w:rsidR="00D256DA" w:rsidRPr="00A319C2">
        <w:rPr>
          <w:rFonts w:ascii="Arial" w:eastAsia="Times New Roman" w:hAnsi="Arial" w:cs="Arial"/>
          <w:color w:val="000000" w:themeColor="text1"/>
          <w:sz w:val="24"/>
          <w:szCs w:val="24"/>
          <w:lang w:val="en-US" w:eastAsia="en-GB"/>
        </w:rPr>
        <w:t xml:space="preserve"> [2021] NI Com 36 that the decision of the EWCA in </w:t>
      </w:r>
      <w:r w:rsidR="00D256DA" w:rsidRPr="00A319C2">
        <w:rPr>
          <w:rFonts w:ascii="Arial" w:eastAsia="Times New Roman" w:hAnsi="Arial" w:cs="Arial"/>
          <w:i/>
          <w:color w:val="000000" w:themeColor="text1"/>
          <w:sz w:val="24"/>
          <w:szCs w:val="24"/>
          <w:lang w:val="en-US" w:eastAsia="en-GB"/>
        </w:rPr>
        <w:t>Johnson</w:t>
      </w:r>
      <w:r w:rsidR="00D256DA" w:rsidRPr="00A319C2">
        <w:rPr>
          <w:rFonts w:ascii="Arial" w:eastAsia="Times New Roman" w:hAnsi="Arial" w:cs="Arial"/>
          <w:color w:val="000000" w:themeColor="text1"/>
          <w:sz w:val="24"/>
          <w:szCs w:val="24"/>
          <w:lang w:val="en-US" w:eastAsia="en-GB"/>
        </w:rPr>
        <w:t xml:space="preserve"> should be followed in Northern Ireland. </w:t>
      </w:r>
      <w:r>
        <w:rPr>
          <w:rFonts w:ascii="Arial" w:eastAsia="Times New Roman" w:hAnsi="Arial" w:cs="Arial"/>
          <w:color w:val="000000" w:themeColor="text1"/>
          <w:sz w:val="24"/>
          <w:szCs w:val="24"/>
          <w:lang w:val="en-US" w:eastAsia="en-GB"/>
        </w:rPr>
        <w:t xml:space="preserve"> </w:t>
      </w:r>
      <w:r w:rsidR="00D256DA" w:rsidRPr="00A319C2">
        <w:rPr>
          <w:rFonts w:ascii="Arial" w:eastAsia="Times New Roman" w:hAnsi="Arial" w:cs="Arial"/>
          <w:color w:val="000000" w:themeColor="text1"/>
          <w:sz w:val="24"/>
          <w:szCs w:val="24"/>
          <w:lang w:val="en-US" w:eastAsia="en-GB"/>
        </w:rPr>
        <w:t>At paragraphs 75-6, I said:</w:t>
      </w:r>
    </w:p>
    <w:p w14:paraId="799DDCEF"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3831BC81" w14:textId="25B879E2" w:rsidR="00D256DA" w:rsidRPr="00A319C2" w:rsidRDefault="005A7D74" w:rsidP="007E3119">
      <w:pPr>
        <w:tabs>
          <w:tab w:val="left" w:pos="510"/>
          <w:tab w:val="left" w:pos="1077"/>
          <w:tab w:val="left" w:pos="1797"/>
        </w:tabs>
        <w:spacing w:after="0" w:line="240" w:lineRule="auto"/>
        <w:ind w:left="510" w:right="57" w:hanging="510"/>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b/>
      </w:r>
      <w:r w:rsidR="00D256DA" w:rsidRPr="00A319C2">
        <w:rPr>
          <w:rFonts w:ascii="Arial" w:eastAsia="Times New Roman" w:hAnsi="Arial" w:cs="Arial"/>
          <w:color w:val="000000" w:themeColor="text1"/>
          <w:sz w:val="24"/>
          <w:szCs w:val="24"/>
          <w:lang w:eastAsia="en-GB"/>
        </w:rPr>
        <w:t xml:space="preserve">75. The regulation 54 in the Great Britain regulations referred to in the judgement is the equivalent of regulation 53 in the Northern Ireland regulations.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Although addressing the question of whether a payment of income is properly considered within a particular assessment period, as opposed to the amount that is attributable, the Divisional Court in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i/>
          <w:iCs/>
          <w:color w:val="000000" w:themeColor="text1"/>
          <w:sz w:val="24"/>
          <w:szCs w:val="24"/>
          <w:lang w:eastAsia="en-GB"/>
        </w:rPr>
        <w:t>Johnson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plainly advocates a flexibility of approach that would be consistent with the decision reached by the tribunal in the present case.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Such an approach would permit tribunals to mitigate any injustice or harsh effects that might arise from inflexible application of the regulations.</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 It appears to me that such an approach would be generally consistent with the role of tribunals in administering justice.</w:t>
      </w:r>
    </w:p>
    <w:p w14:paraId="6719681E" w14:textId="3128A41A" w:rsidR="00D256DA" w:rsidRPr="00A319C2" w:rsidRDefault="00D256DA" w:rsidP="007E3119">
      <w:pPr>
        <w:tabs>
          <w:tab w:val="left" w:pos="510"/>
          <w:tab w:val="left" w:pos="1077"/>
          <w:tab w:val="left" w:pos="1797"/>
        </w:tabs>
        <w:spacing w:after="0" w:line="240" w:lineRule="auto"/>
        <w:ind w:left="510" w:right="57" w:hanging="510"/>
        <w:jc w:val="both"/>
        <w:rPr>
          <w:rFonts w:ascii="Arial" w:eastAsia="Times New Roman" w:hAnsi="Arial" w:cs="Arial"/>
          <w:color w:val="000000" w:themeColor="text1"/>
          <w:sz w:val="24"/>
          <w:szCs w:val="24"/>
          <w:lang w:eastAsia="en-GB"/>
        </w:rPr>
      </w:pPr>
    </w:p>
    <w:p w14:paraId="54BC3D22" w14:textId="6B1FBA15" w:rsidR="00D256DA" w:rsidRPr="00A319C2" w:rsidRDefault="005A7D74" w:rsidP="007E3119">
      <w:pPr>
        <w:tabs>
          <w:tab w:val="left" w:pos="510"/>
          <w:tab w:val="left" w:pos="1077"/>
          <w:tab w:val="left" w:pos="1797"/>
        </w:tabs>
        <w:spacing w:after="0" w:line="240" w:lineRule="auto"/>
        <w:ind w:left="510" w:right="57" w:hanging="510"/>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b/>
      </w:r>
      <w:r w:rsidR="00D256DA" w:rsidRPr="00A319C2">
        <w:rPr>
          <w:rFonts w:ascii="Arial" w:eastAsia="Times New Roman" w:hAnsi="Arial" w:cs="Arial"/>
          <w:color w:val="000000" w:themeColor="text1"/>
          <w:sz w:val="24"/>
          <w:szCs w:val="24"/>
          <w:lang w:eastAsia="en-GB"/>
        </w:rPr>
        <w:t>76. However, as I have indicated above, the EWCA in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i/>
          <w:iCs/>
          <w:color w:val="000000" w:themeColor="text1"/>
          <w:sz w:val="24"/>
          <w:szCs w:val="24"/>
          <w:lang w:eastAsia="en-GB"/>
        </w:rPr>
        <w:t>Johnson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expressly rejected the reasoning of the Divisional Court at paragraphs 34-45 of its decision.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I find myself in disagreement with the EWCA on this issue.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Technically, I am not bound by the EWCA.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Nevertheless, while not, strictly speaking, binding on me as a Northern Ireland Social Security Commissioner, I consider that long-established principles of comity, applying when identical provisions may come to be interpreted differently in Great Britain and Northern Ireland, require me to follow the judgement of Rose LJ (as she then was) in the EWCA in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i/>
          <w:iCs/>
          <w:color w:val="000000" w:themeColor="text1"/>
          <w:sz w:val="24"/>
          <w:szCs w:val="24"/>
          <w:lang w:eastAsia="en-GB"/>
        </w:rPr>
        <w:t>Johnson</w:t>
      </w:r>
      <w:r w:rsidRPr="005A7D74">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in preference to that of Singh LJ in the Divisional Court (see</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i/>
          <w:iCs/>
          <w:color w:val="000000" w:themeColor="text1"/>
          <w:sz w:val="24"/>
          <w:szCs w:val="24"/>
          <w:lang w:eastAsia="en-GB"/>
        </w:rPr>
        <w:t>EC v Secretary of State for Work and Pensions</w:t>
      </w:r>
      <w:r>
        <w:rPr>
          <w:rFonts w:ascii="Arial" w:eastAsia="Times New Roman" w:hAnsi="Arial" w:cs="Arial"/>
          <w:i/>
          <w:iCs/>
          <w:color w:val="000000" w:themeColor="text1"/>
          <w:sz w:val="24"/>
          <w:szCs w:val="24"/>
          <w:lang w:eastAsia="en-GB"/>
        </w:rPr>
        <w:t xml:space="preserve"> </w:t>
      </w:r>
      <w:hyperlink r:id="rId8" w:tooltip="Link to BAILII version" w:history="1">
        <w:r w:rsidR="00D256DA" w:rsidRPr="00A319C2">
          <w:rPr>
            <w:rFonts w:ascii="Arial" w:eastAsia="Times New Roman" w:hAnsi="Arial" w:cs="Arial"/>
            <w:color w:val="000000" w:themeColor="text1"/>
            <w:sz w:val="24"/>
            <w:szCs w:val="24"/>
            <w:lang w:eastAsia="en-GB"/>
          </w:rPr>
          <w:t>[2015] UKUT 618</w:t>
        </w:r>
      </w:hyperlink>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 xml:space="preserve">at paragraphs 26-35). </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color w:val="000000" w:themeColor="text1"/>
          <w:sz w:val="24"/>
          <w:szCs w:val="24"/>
          <w:lang w:eastAsia="en-GB"/>
        </w:rPr>
        <w:t>This has the coincidental effect of achieving consistency with the decision of Upper Tribunal Judge Jacobs in</w:t>
      </w:r>
      <w:r>
        <w:rPr>
          <w:rFonts w:ascii="Arial" w:eastAsia="Times New Roman" w:hAnsi="Arial" w:cs="Arial"/>
          <w:color w:val="000000" w:themeColor="text1"/>
          <w:sz w:val="24"/>
          <w:szCs w:val="24"/>
          <w:lang w:eastAsia="en-GB"/>
        </w:rPr>
        <w:t xml:space="preserve"> </w:t>
      </w:r>
      <w:r w:rsidR="00D256DA" w:rsidRPr="00A319C2">
        <w:rPr>
          <w:rFonts w:ascii="Arial" w:eastAsia="Times New Roman" w:hAnsi="Arial" w:cs="Arial"/>
          <w:i/>
          <w:iCs/>
          <w:color w:val="000000" w:themeColor="text1"/>
          <w:sz w:val="24"/>
          <w:szCs w:val="24"/>
          <w:lang w:eastAsia="en-GB"/>
        </w:rPr>
        <w:t>NM v SSWP</w:t>
      </w:r>
      <w:r w:rsidR="00D256DA" w:rsidRPr="00A319C2">
        <w:rPr>
          <w:rFonts w:ascii="Arial" w:eastAsia="Times New Roman" w:hAnsi="Arial" w:cs="Arial"/>
          <w:color w:val="000000" w:themeColor="text1"/>
          <w:sz w:val="24"/>
          <w:szCs w:val="24"/>
          <w:lang w:eastAsia="en-GB"/>
        </w:rPr>
        <w:t>.</w:t>
      </w:r>
    </w:p>
    <w:p w14:paraId="54823351"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1F78ED5" w14:textId="756492EB" w:rsidR="00D256DA" w:rsidRPr="00A319C2" w:rsidRDefault="005A7D74"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Mr McCloskey did not accept that </w:t>
      </w:r>
      <w:r w:rsidR="00D256DA" w:rsidRPr="00A319C2">
        <w:rPr>
          <w:rFonts w:ascii="Arial" w:hAnsi="Arial" w:cs="Arial"/>
          <w:i/>
          <w:color w:val="000000" w:themeColor="text1"/>
          <w:sz w:val="24"/>
          <w:szCs w:val="24"/>
        </w:rPr>
        <w:t>Johnson</w:t>
      </w:r>
      <w:r w:rsidR="00D256DA" w:rsidRPr="00A319C2">
        <w:rPr>
          <w:rFonts w:ascii="Arial" w:hAnsi="Arial" w:cs="Arial"/>
          <w:color w:val="000000" w:themeColor="text1"/>
          <w:sz w:val="24"/>
          <w:szCs w:val="24"/>
        </w:rPr>
        <w:t xml:space="preserve"> was correct, but he conceded that by expressly referring to legislation that only came into force on 16 November 2020, and by applying it to a decision of 28 December 2018, the tribunal had erred in law. </w:t>
      </w:r>
      <w:r>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I agree with this proposition and accept that the tribunal has reached a decision that is inconsistent with </w:t>
      </w:r>
      <w:r w:rsidR="00D256DA" w:rsidRPr="00A319C2">
        <w:rPr>
          <w:rFonts w:ascii="Arial" w:hAnsi="Arial" w:cs="Arial"/>
          <w:i/>
          <w:color w:val="000000" w:themeColor="text1"/>
          <w:sz w:val="24"/>
          <w:szCs w:val="24"/>
        </w:rPr>
        <w:t>Johnson</w:t>
      </w:r>
      <w:r w:rsidR="00D256DA" w:rsidRPr="00A319C2">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I therefore allow the Department’s appeal and set aside the decision of the appeal tribunal.</w:t>
      </w:r>
      <w:r>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Rather than remit the case to a newly constituted tribunal for determination, I proceed to determine the appeal myself under Article 15(8)(a)(</w:t>
      </w:r>
      <w:proofErr w:type="spellStart"/>
      <w:r w:rsidR="00D256DA" w:rsidRPr="00A319C2">
        <w:rPr>
          <w:rFonts w:ascii="Arial" w:hAnsi="Arial" w:cs="Arial"/>
          <w:color w:val="000000" w:themeColor="text1"/>
          <w:sz w:val="24"/>
          <w:szCs w:val="24"/>
        </w:rPr>
        <w:t>i</w:t>
      </w:r>
      <w:proofErr w:type="spellEnd"/>
      <w:r w:rsidR="00D256DA" w:rsidRPr="00A319C2">
        <w:rPr>
          <w:rFonts w:ascii="Arial" w:hAnsi="Arial" w:cs="Arial"/>
          <w:color w:val="000000" w:themeColor="text1"/>
          <w:sz w:val="24"/>
          <w:szCs w:val="24"/>
        </w:rPr>
        <w:t>).</w:t>
      </w:r>
    </w:p>
    <w:p w14:paraId="312F4424"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D55ECD8" w14:textId="0A15F073" w:rsidR="00D256DA" w:rsidRPr="00A319C2" w:rsidRDefault="00CF1A98"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As indicated, the regulation at the centre of Mr McCloskey’s submissions has been amended since the decision under appeal. </w:t>
      </w:r>
      <w:r w:rsidR="005A7D74">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previous form of regulation 62(3)(b)(ii) created an exception to the use of Real Time Information where “the Department considers that the information received from HMRC is incorrect … in some material respect”. </w:t>
      </w:r>
      <w:r w:rsidR="005A7D74">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The present form of regulation 62(3) creates an exception where “it appears to the Department that the amount of a payment reported to HMRC is incorrect … in some material respect”. </w:t>
      </w:r>
      <w:r w:rsidR="005A7D74">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This appeal is concerned with the older form of the legislation, as it was prior to 16 November 2020, and it is accordingly of historic interest only.</w:t>
      </w:r>
    </w:p>
    <w:p w14:paraId="646C1D84"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2B54552" w14:textId="2087A30C"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31.</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submission advanced by Mr McCloskey is essentially that, where Real Time Information is available, the UC legislation takes responsibility from reporting the </w:t>
      </w:r>
      <w:proofErr w:type="gramStart"/>
      <w:r w:rsidR="00D256DA" w:rsidRPr="00A319C2">
        <w:rPr>
          <w:rFonts w:ascii="Arial" w:hAnsi="Arial" w:cs="Arial"/>
          <w:color w:val="000000" w:themeColor="text1"/>
          <w:sz w:val="24"/>
          <w:szCs w:val="24"/>
        </w:rPr>
        <w:t>amount</w:t>
      </w:r>
      <w:proofErr w:type="gramEnd"/>
      <w:r w:rsidR="00D256DA" w:rsidRPr="00A319C2">
        <w:rPr>
          <w:rFonts w:ascii="Arial" w:hAnsi="Arial" w:cs="Arial"/>
          <w:color w:val="000000" w:themeColor="text1"/>
          <w:sz w:val="24"/>
          <w:szCs w:val="24"/>
        </w:rPr>
        <w:t xml:space="preserve"> of wages received away from the employee and places it on to the employer. </w:t>
      </w:r>
      <w:r w:rsidR="0007034F">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In this context, the employer is required and expected to follow legislation and guidance pertaining to PAYE. </w:t>
      </w:r>
      <w:r w:rsidR="0007034F">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His submission is that the payment of wages made to the respondent on 23 November 2018 should have been made on 16 November 2018.</w:t>
      </w:r>
      <w:r w:rsidR="0007034F">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As it was not, he submits, it was made other than in accordance with PAYE regulations and guidance. </w:t>
      </w:r>
      <w:r w:rsidR="0007034F">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As the payment in question was made on a day other than the date specified in HMRC instructions, the information received from HMRC was “incorrect … in some material respect” as per regulation 62(3)(b)(ii). </w:t>
      </w:r>
      <w:r w:rsidR="0007034F">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Whereas the amended form of the legislation refers to the “amount of a payment” being incorrect, the applicable version refers to the “information received from HMRC” being incorrect.</w:t>
      </w:r>
    </w:p>
    <w:p w14:paraId="1F3111A4"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387E728E" w14:textId="2D13E18C"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32.</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There is plainly some force in the submissions of Mr McCloskey. </w:t>
      </w:r>
      <w:r w:rsidR="00B66F56">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The PAYE legislation sets out some structures for employers to observe when paying employees.</w:t>
      </w:r>
      <w:r w:rsidR="00B66F56">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In ideal circumstances, employers would invariably comply with these.</w:t>
      </w:r>
      <w:r w:rsidR="00B66F56">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However, in the real world it is unlikely that employers will comply in all circumstances</w:t>
      </w:r>
      <w:r w:rsidR="00C77DE2" w:rsidRPr="00A319C2">
        <w:rPr>
          <w:rFonts w:ascii="Arial" w:hAnsi="Arial" w:cs="Arial"/>
          <w:color w:val="000000" w:themeColor="text1"/>
          <w:sz w:val="24"/>
          <w:szCs w:val="24"/>
        </w:rPr>
        <w:t>, w</w:t>
      </w:r>
      <w:r w:rsidR="00D256DA" w:rsidRPr="00A319C2">
        <w:rPr>
          <w:rFonts w:ascii="Arial" w:hAnsi="Arial" w:cs="Arial"/>
          <w:color w:val="000000" w:themeColor="text1"/>
          <w:sz w:val="24"/>
          <w:szCs w:val="24"/>
        </w:rPr>
        <w:t xml:space="preserve">ith the consequence that situations such as the present one will occur. </w:t>
      </w:r>
      <w:r w:rsidR="00B66F56">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The question is whether a failure to observe PAYE requirements can affect the application of regulation 62(3)(b)(ii).</w:t>
      </w:r>
    </w:p>
    <w:p w14:paraId="65FD9158"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4BBDBC0D" w14:textId="387AA0D6"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33.</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The key word in issue, it seems to me, is “incorrect”.</w:t>
      </w:r>
      <w:r w:rsidR="00515EB7">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Mr McCloskey, as I understand him, submitted that the information that was received from HMRC was incorrect in the sense that the employer ought to have reported payment of wages on a different, earlier date, falling outside the relevant assessment period. </w:t>
      </w:r>
      <w:r w:rsidR="00515EB7">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It is not disputed that the information about the amount received was correct.</w:t>
      </w:r>
      <w:r w:rsidR="00515EB7">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It is not disputed that the information about the date on which the payment was </w:t>
      </w:r>
      <w:proofErr w:type="gramStart"/>
      <w:r w:rsidR="00D256DA" w:rsidRPr="00A319C2">
        <w:rPr>
          <w:rFonts w:ascii="Arial" w:hAnsi="Arial" w:cs="Arial"/>
          <w:color w:val="000000" w:themeColor="text1"/>
          <w:sz w:val="24"/>
          <w:szCs w:val="24"/>
        </w:rPr>
        <w:t>actually made</w:t>
      </w:r>
      <w:proofErr w:type="gramEnd"/>
      <w:r w:rsidR="00D256DA" w:rsidRPr="00A319C2">
        <w:rPr>
          <w:rFonts w:ascii="Arial" w:hAnsi="Arial" w:cs="Arial"/>
          <w:color w:val="000000" w:themeColor="text1"/>
          <w:sz w:val="24"/>
          <w:szCs w:val="24"/>
        </w:rPr>
        <w:t xml:space="preserve"> was correct.</w:t>
      </w:r>
      <w:r w:rsidR="00515EB7">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It is submitted that the information was incorrect in the sense that it was not communicated to the Real Time Information system in accordance with the requirements of the PAYE Regulations or HMRC guidance.</w:t>
      </w:r>
    </w:p>
    <w:p w14:paraId="48E42BD1" w14:textId="5C79BA3D"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471DCBF" w14:textId="54D8BF08"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34.</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I am sympathetic to the situation of former employees who find themselves in a position of being paid wages late by their employers.</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These wages, representing earnings for past work and past periods, are assessed as income for UC assessment periods when the claimant may be unemployed.</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It seems to me that there is an element of injustice arising in this situation, since wages that should have been paid earlier are deemed attributable to a period when the claimant has no income.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However, that is what the legislation, made by the Department for Work and Pensions in Great Britain but extending to Northern Ireland, achieves.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Mr McCloskey is submitting, it appears to me, that accurate reports of amounts and dates of payment can be ignored </w:t>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what should have happened, as opposed to what has actually happened, and that the word “incorrect” should be given a broad meaning.</w:t>
      </w:r>
    </w:p>
    <w:p w14:paraId="4F2E73D6"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441EBAAC" w14:textId="67BF5F09"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35.</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The term “incorrect”, when applied to information, it appears to me, has the meaning of being inaccurate or being wrong.</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 can find no authority for construing the expression “the information received from HMRC is incorrect … in some material respect” to encompass the situation where otherwise accurate information is not recorded on the correct date.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There may well be a legitimate expectation that information should be provided on a particular date under legislation and guidance.</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A failure to do so may well be an incorrect application of the relevant PAYE rules.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However, in the absence of persuasive authority, I cannot hold that this procedural failing renders the information “incorrect” when it amounts to accurate information being provided at the wrong date.</w:t>
      </w:r>
    </w:p>
    <w:p w14:paraId="69EC41D5"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27A6710E" w14:textId="33736AF3"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36.</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The regulation was amended from 16 November 2020, and now refers to the “amount of a payment reported to HMRC” being incorrect, rather than simply to “information”.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Thus, it seems to me, any debate about information being incorrect </w:t>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the date reported for the payment appears to have been stifled by the amendment.</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In the absence of any policy analysis relating to the legislative amendment being placed before me, I do not find that the fact of amendment of the legislation assists me either way in my interpretation of the earlier form of the legislation.</w:t>
      </w:r>
    </w:p>
    <w:p w14:paraId="374BF669"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838E931" w14:textId="6DDAAAC4"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37.</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I consider that I must allow the Department’s appeal under Article 15(8)(a) of the Social Security (NI) Order 1998 and set aside the decision of the appeal tribunal.</w:t>
      </w:r>
    </w:p>
    <w:p w14:paraId="3A56EED8"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341599A1" w14:textId="78D60DC5"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38.</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I am in as good a position as any tribunal consisting of an LQM sitting alone to determine the issues in the appeal, making further findings of fact </w:t>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agreed evidence, and I decide the appeal accordingly.</w:t>
      </w:r>
    </w:p>
    <w:p w14:paraId="3BB38211" w14:textId="77777777" w:rsidR="00D256DA" w:rsidRPr="00A319C2" w:rsidRDefault="00D256DA"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p>
    <w:p w14:paraId="70919213" w14:textId="388CBC05" w:rsidR="00D256DA" w:rsidRPr="00A319C2" w:rsidRDefault="00512FED" w:rsidP="007E3119">
      <w:pPr>
        <w:tabs>
          <w:tab w:val="left" w:pos="510"/>
          <w:tab w:val="left" w:pos="1077"/>
          <w:tab w:val="left" w:pos="1797"/>
        </w:tabs>
        <w:spacing w:after="0" w:line="240" w:lineRule="auto"/>
        <w:ind w:left="510" w:right="57" w:hanging="510"/>
        <w:jc w:val="both"/>
        <w:rPr>
          <w:rFonts w:ascii="Arial" w:hAnsi="Arial" w:cs="Arial"/>
          <w:color w:val="000000" w:themeColor="text1"/>
          <w:sz w:val="24"/>
          <w:szCs w:val="24"/>
        </w:rPr>
      </w:pPr>
      <w:r w:rsidRPr="00A319C2">
        <w:rPr>
          <w:rFonts w:ascii="Arial" w:hAnsi="Arial" w:cs="Arial"/>
          <w:color w:val="000000" w:themeColor="text1"/>
          <w:sz w:val="24"/>
          <w:szCs w:val="24"/>
        </w:rPr>
        <w:t>39.</w:t>
      </w:r>
      <w:r w:rsidRPr="00A319C2">
        <w:rPr>
          <w:rFonts w:ascii="Arial" w:hAnsi="Arial" w:cs="Arial"/>
          <w:color w:val="000000" w:themeColor="text1"/>
          <w:sz w:val="24"/>
          <w:szCs w:val="24"/>
        </w:rPr>
        <w:tab/>
      </w:r>
      <w:r w:rsidR="00D256DA" w:rsidRPr="00A319C2">
        <w:rPr>
          <w:rFonts w:ascii="Arial" w:hAnsi="Arial" w:cs="Arial"/>
          <w:color w:val="000000" w:themeColor="text1"/>
          <w:sz w:val="24"/>
          <w:szCs w:val="24"/>
        </w:rPr>
        <w:t xml:space="preserve">I find </w:t>
      </w:r>
      <w:proofErr w:type="gramStart"/>
      <w:r w:rsidR="00D256DA" w:rsidRPr="00A319C2">
        <w:rPr>
          <w:rFonts w:ascii="Arial" w:hAnsi="Arial" w:cs="Arial"/>
          <w:color w:val="000000" w:themeColor="text1"/>
          <w:sz w:val="24"/>
          <w:szCs w:val="24"/>
        </w:rPr>
        <w:t>on the basis of</w:t>
      </w:r>
      <w:proofErr w:type="gramEnd"/>
      <w:r w:rsidR="00D256DA" w:rsidRPr="00A319C2">
        <w:rPr>
          <w:rFonts w:ascii="Arial" w:hAnsi="Arial" w:cs="Arial"/>
          <w:color w:val="000000" w:themeColor="text1"/>
          <w:sz w:val="24"/>
          <w:szCs w:val="24"/>
        </w:rPr>
        <w:t xml:space="preserve"> the evidence agreed by the parties that the respondent received payment of £404.34 on 23 November 2018 and £225.52 on 30 November 2018.</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 I find that these fall to be assessed as the respondent’s employed earnings for the relevant assessment period.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 xml:space="preserve">I accept the calculation of his entitlement to UC as £215.12 for the relevant assessment period. </w:t>
      </w:r>
      <w:r w:rsidR="00CF1A98">
        <w:rPr>
          <w:rFonts w:ascii="Arial" w:hAnsi="Arial" w:cs="Arial"/>
          <w:color w:val="000000" w:themeColor="text1"/>
          <w:sz w:val="24"/>
          <w:szCs w:val="24"/>
        </w:rPr>
        <w:t xml:space="preserve"> </w:t>
      </w:r>
      <w:r w:rsidR="00D256DA" w:rsidRPr="00A319C2">
        <w:rPr>
          <w:rFonts w:ascii="Arial" w:hAnsi="Arial" w:cs="Arial"/>
          <w:color w:val="000000" w:themeColor="text1"/>
          <w:sz w:val="24"/>
          <w:szCs w:val="24"/>
        </w:rPr>
        <w:t>Having determined the issue myself, I disallow the respondent’s appeal to the extent that he seeks to exclude payments made within the assessment period from consideration.</w:t>
      </w:r>
    </w:p>
    <w:p w14:paraId="1B9DE32F" w14:textId="77777777" w:rsidR="00512FED" w:rsidRPr="00A319C2"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61122BC7" w14:textId="77777777" w:rsidR="00512FED" w:rsidRPr="00A319C2"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05D520C0" w14:textId="5C0C50A5" w:rsidR="00512FED"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rPr>
      </w:pPr>
      <w:r w:rsidRPr="00A319C2">
        <w:rPr>
          <w:rFonts w:ascii="Arial" w:hAnsi="Arial" w:cs="Arial"/>
          <w:color w:val="000000" w:themeColor="text1"/>
          <w:sz w:val="24"/>
          <w:szCs w:val="24"/>
        </w:rPr>
        <w:t>(signed)</w:t>
      </w:r>
      <w:r w:rsidR="00CF1A98">
        <w:rPr>
          <w:rFonts w:ascii="Arial" w:hAnsi="Arial" w:cs="Arial"/>
          <w:color w:val="000000" w:themeColor="text1"/>
          <w:sz w:val="24"/>
          <w:szCs w:val="24"/>
        </w:rPr>
        <w:t xml:space="preserve">:  </w:t>
      </w:r>
      <w:proofErr w:type="spellStart"/>
      <w:r w:rsidRPr="00CF1A98">
        <w:rPr>
          <w:rFonts w:ascii="Arial" w:hAnsi="Arial" w:cs="Arial"/>
          <w:color w:val="000000" w:themeColor="text1"/>
          <w:sz w:val="24"/>
          <w:szCs w:val="24"/>
        </w:rPr>
        <w:t>Odhrán</w:t>
      </w:r>
      <w:proofErr w:type="spellEnd"/>
      <w:r w:rsidRPr="00CF1A98">
        <w:rPr>
          <w:rFonts w:ascii="Arial" w:hAnsi="Arial" w:cs="Arial"/>
          <w:color w:val="000000" w:themeColor="text1"/>
          <w:sz w:val="24"/>
          <w:szCs w:val="24"/>
        </w:rPr>
        <w:t xml:space="preserve"> Stockman</w:t>
      </w:r>
    </w:p>
    <w:p w14:paraId="5F7EB636" w14:textId="77777777" w:rsidR="00CF1A98" w:rsidRPr="00CF1A98" w:rsidRDefault="00CF1A98"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5C561D92" w14:textId="77777777" w:rsidR="00512FED" w:rsidRPr="00CF1A98"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rPr>
      </w:pPr>
      <w:r w:rsidRPr="00CF1A98">
        <w:rPr>
          <w:rFonts w:ascii="Arial" w:hAnsi="Arial" w:cs="Arial"/>
          <w:color w:val="000000" w:themeColor="text1"/>
          <w:sz w:val="24"/>
          <w:szCs w:val="24"/>
        </w:rPr>
        <w:t>Commissioner</w:t>
      </w:r>
    </w:p>
    <w:p w14:paraId="6EB9503D" w14:textId="1B212184" w:rsidR="00512FED"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610F8E02" w14:textId="2CC7C063" w:rsidR="00CF1A98" w:rsidRDefault="00CF1A98"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062C71C1" w14:textId="77777777" w:rsidR="00CF1A98" w:rsidRPr="00CF1A98" w:rsidRDefault="00CF1A98" w:rsidP="007E3119">
      <w:pPr>
        <w:tabs>
          <w:tab w:val="left" w:pos="510"/>
          <w:tab w:val="left" w:pos="1077"/>
          <w:tab w:val="left" w:pos="1797"/>
        </w:tabs>
        <w:spacing w:after="0" w:line="240" w:lineRule="auto"/>
        <w:ind w:right="57"/>
        <w:rPr>
          <w:rFonts w:ascii="Arial" w:hAnsi="Arial" w:cs="Arial"/>
          <w:color w:val="000000" w:themeColor="text1"/>
          <w:sz w:val="24"/>
          <w:szCs w:val="24"/>
        </w:rPr>
      </w:pPr>
    </w:p>
    <w:p w14:paraId="5B78E852" w14:textId="211C2CC7" w:rsidR="00D256DA" w:rsidRPr="00A319C2" w:rsidRDefault="00512FED" w:rsidP="007E3119">
      <w:pPr>
        <w:tabs>
          <w:tab w:val="left" w:pos="510"/>
          <w:tab w:val="left" w:pos="1077"/>
          <w:tab w:val="left" w:pos="1797"/>
        </w:tabs>
        <w:spacing w:after="0" w:line="240" w:lineRule="auto"/>
        <w:ind w:right="57"/>
        <w:rPr>
          <w:rFonts w:ascii="Arial" w:hAnsi="Arial" w:cs="Arial"/>
          <w:color w:val="000000" w:themeColor="text1"/>
          <w:sz w:val="24"/>
          <w:szCs w:val="24"/>
          <w:lang w:val="en-US"/>
        </w:rPr>
      </w:pPr>
      <w:r w:rsidRPr="00CF1A98">
        <w:rPr>
          <w:rFonts w:ascii="Arial" w:hAnsi="Arial" w:cs="Arial"/>
          <w:color w:val="000000" w:themeColor="text1"/>
          <w:sz w:val="24"/>
          <w:szCs w:val="24"/>
        </w:rPr>
        <w:t>20 October 2022</w:t>
      </w:r>
    </w:p>
    <w:sectPr w:rsidR="00D256DA" w:rsidRPr="00A319C2" w:rsidSect="008A08A0">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40E3" w14:textId="77777777" w:rsidR="0002490C" w:rsidRDefault="0002490C" w:rsidP="00D256DA">
      <w:pPr>
        <w:spacing w:after="0" w:line="240" w:lineRule="auto"/>
      </w:pPr>
      <w:r>
        <w:separator/>
      </w:r>
    </w:p>
  </w:endnote>
  <w:endnote w:type="continuationSeparator" w:id="0">
    <w:p w14:paraId="408C490B" w14:textId="77777777" w:rsidR="0002490C" w:rsidRDefault="0002490C" w:rsidP="00D2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F455" w14:textId="7F437472" w:rsidR="00D256DA" w:rsidRPr="00A319C2" w:rsidRDefault="00D256DA" w:rsidP="00A319C2">
    <w:pPr>
      <w:pStyle w:val="Footer"/>
      <w:jc w:val="center"/>
      <w:rPr>
        <w:rFonts w:ascii="Arial" w:hAnsi="Arial" w:cs="Arial"/>
        <w:sz w:val="24"/>
        <w:szCs w:val="24"/>
      </w:rPr>
    </w:pPr>
    <w:r w:rsidRPr="00A319C2">
      <w:rPr>
        <w:rFonts w:ascii="Arial" w:hAnsi="Arial" w:cs="Arial"/>
        <w:sz w:val="24"/>
        <w:szCs w:val="24"/>
      </w:rPr>
      <w:fldChar w:fldCharType="begin"/>
    </w:r>
    <w:r w:rsidRPr="00A319C2">
      <w:rPr>
        <w:rFonts w:ascii="Arial" w:hAnsi="Arial" w:cs="Arial"/>
        <w:sz w:val="24"/>
        <w:szCs w:val="24"/>
      </w:rPr>
      <w:instrText xml:space="preserve"> PAGE   \* MERGEFORMAT </w:instrText>
    </w:r>
    <w:r w:rsidRPr="00A319C2">
      <w:rPr>
        <w:rFonts w:ascii="Arial" w:hAnsi="Arial" w:cs="Arial"/>
        <w:sz w:val="24"/>
        <w:szCs w:val="24"/>
      </w:rPr>
      <w:fldChar w:fldCharType="separate"/>
    </w:r>
    <w:r w:rsidRPr="00A319C2">
      <w:rPr>
        <w:rFonts w:ascii="Arial" w:hAnsi="Arial" w:cs="Arial"/>
        <w:noProof/>
        <w:sz w:val="24"/>
        <w:szCs w:val="24"/>
      </w:rPr>
      <w:t>2</w:t>
    </w:r>
    <w:r w:rsidRPr="00A319C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3B4F" w14:textId="77777777" w:rsidR="0002490C" w:rsidRDefault="0002490C" w:rsidP="00D256DA">
      <w:pPr>
        <w:spacing w:after="0" w:line="240" w:lineRule="auto"/>
      </w:pPr>
      <w:r>
        <w:separator/>
      </w:r>
    </w:p>
  </w:footnote>
  <w:footnote w:type="continuationSeparator" w:id="0">
    <w:p w14:paraId="3A0203EE" w14:textId="77777777" w:rsidR="0002490C" w:rsidRDefault="0002490C" w:rsidP="00D25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6B7"/>
    <w:multiLevelType w:val="hybridMultilevel"/>
    <w:tmpl w:val="456829E4"/>
    <w:lvl w:ilvl="0" w:tplc="EC8657AC">
      <w:start w:val="35"/>
      <w:numFmt w:val="decimal"/>
      <w:lvlText w:val="%1."/>
      <w:lvlJc w:val="left"/>
      <w:pPr>
        <w:ind w:left="684" w:hanging="567"/>
      </w:pPr>
      <w:rPr>
        <w:rFonts w:ascii="Times New Roman" w:eastAsia="Times New Roman" w:hAnsi="Times New Roman" w:cs="Times New Roman" w:hint="default"/>
        <w:spacing w:val="-3"/>
        <w:w w:val="99"/>
        <w:sz w:val="24"/>
        <w:szCs w:val="24"/>
        <w:lang w:val="en-GB" w:eastAsia="en-GB" w:bidi="en-GB"/>
      </w:rPr>
    </w:lvl>
    <w:lvl w:ilvl="1" w:tplc="B29C87B0">
      <w:start w:val="1"/>
      <w:numFmt w:val="decimal"/>
      <w:lvlText w:val="%2."/>
      <w:lvlJc w:val="left"/>
      <w:pPr>
        <w:ind w:left="528" w:hanging="240"/>
      </w:pPr>
      <w:rPr>
        <w:rFonts w:ascii="Times New Roman" w:eastAsia="Times New Roman" w:hAnsi="Times New Roman" w:cs="Times New Roman" w:hint="default"/>
        <w:b/>
        <w:bCs/>
        <w:w w:val="100"/>
        <w:sz w:val="24"/>
        <w:szCs w:val="24"/>
        <w:lang w:val="en-GB" w:eastAsia="en-GB" w:bidi="en-GB"/>
      </w:rPr>
    </w:lvl>
    <w:lvl w:ilvl="2" w:tplc="A976B3C8">
      <w:start w:val="1"/>
      <w:numFmt w:val="lowerLetter"/>
      <w:lvlText w:val="(%3)"/>
      <w:lvlJc w:val="left"/>
      <w:pPr>
        <w:ind w:left="854" w:hanging="396"/>
      </w:pPr>
      <w:rPr>
        <w:rFonts w:ascii="Calibri" w:eastAsia="Times New Roman" w:hAnsi="Calibri" w:cs="Calibri" w:hint="default"/>
        <w:spacing w:val="-4"/>
        <w:w w:val="99"/>
        <w:sz w:val="22"/>
        <w:szCs w:val="22"/>
        <w:lang w:val="en-GB" w:eastAsia="en-GB" w:bidi="en-GB"/>
      </w:rPr>
    </w:lvl>
    <w:lvl w:ilvl="3" w:tplc="12708FEE">
      <w:numFmt w:val="bullet"/>
      <w:lvlText w:val="•"/>
      <w:lvlJc w:val="left"/>
      <w:pPr>
        <w:ind w:left="1868" w:hanging="396"/>
      </w:pPr>
      <w:rPr>
        <w:lang w:val="en-GB" w:eastAsia="en-GB" w:bidi="en-GB"/>
      </w:rPr>
    </w:lvl>
    <w:lvl w:ilvl="4" w:tplc="7350672E">
      <w:start w:val="1"/>
      <w:numFmt w:val="lowerLetter"/>
      <w:lvlText w:val="(%5)"/>
      <w:lvlJc w:val="left"/>
      <w:pPr>
        <w:ind w:left="2876" w:hanging="396"/>
      </w:pPr>
      <w:rPr>
        <w:rFonts w:ascii="Calibri" w:eastAsia="Times New Roman" w:hAnsi="Calibri" w:cs="Calibri" w:hint="default"/>
        <w:spacing w:val="-3"/>
        <w:w w:val="99"/>
        <w:sz w:val="22"/>
        <w:szCs w:val="22"/>
        <w:lang w:val="en-GB" w:eastAsia="en-GB" w:bidi="en-GB"/>
      </w:rPr>
    </w:lvl>
    <w:lvl w:ilvl="5" w:tplc="2892EDBE">
      <w:numFmt w:val="bullet"/>
      <w:lvlText w:val="•"/>
      <w:lvlJc w:val="left"/>
      <w:pPr>
        <w:ind w:left="3884" w:hanging="396"/>
      </w:pPr>
      <w:rPr>
        <w:lang w:val="en-GB" w:eastAsia="en-GB" w:bidi="en-GB"/>
      </w:rPr>
    </w:lvl>
    <w:lvl w:ilvl="6" w:tplc="4B08F8DE">
      <w:numFmt w:val="bullet"/>
      <w:lvlText w:val="•"/>
      <w:lvlJc w:val="left"/>
      <w:pPr>
        <w:ind w:left="4893" w:hanging="396"/>
      </w:pPr>
      <w:rPr>
        <w:lang w:val="en-GB" w:eastAsia="en-GB" w:bidi="en-GB"/>
      </w:rPr>
    </w:lvl>
    <w:lvl w:ilvl="7" w:tplc="1A466008">
      <w:numFmt w:val="bullet"/>
      <w:lvlText w:val="•"/>
      <w:lvlJc w:val="left"/>
      <w:pPr>
        <w:ind w:left="5901" w:hanging="396"/>
      </w:pPr>
      <w:rPr>
        <w:lang w:val="en-GB" w:eastAsia="en-GB" w:bidi="en-GB"/>
      </w:rPr>
    </w:lvl>
    <w:lvl w:ilvl="8" w:tplc="AF1E998A">
      <w:numFmt w:val="bullet"/>
      <w:lvlText w:val="•"/>
      <w:lvlJc w:val="left"/>
      <w:pPr>
        <w:ind w:left="6909" w:hanging="396"/>
      </w:pPr>
      <w:rPr>
        <w:lang w:val="en-GB" w:eastAsia="en-GB" w:bidi="en-GB"/>
      </w:rPr>
    </w:lvl>
  </w:abstractNum>
  <w:abstractNum w:abstractNumId="1" w15:restartNumberingAfterBreak="0">
    <w:nsid w:val="10622844"/>
    <w:multiLevelType w:val="hybridMultilevel"/>
    <w:tmpl w:val="944CC7D2"/>
    <w:lvl w:ilvl="0" w:tplc="9078E16A">
      <w:start w:val="2"/>
      <w:numFmt w:val="decimal"/>
      <w:lvlText w:val="(%1)"/>
      <w:lvlJc w:val="left"/>
      <w:pPr>
        <w:ind w:left="804" w:hanging="346"/>
      </w:pPr>
      <w:rPr>
        <w:rFonts w:ascii="Calibri" w:eastAsia="Times New Roman" w:hAnsi="Calibri" w:cs="Calibri" w:hint="default"/>
        <w:w w:val="99"/>
        <w:sz w:val="22"/>
        <w:szCs w:val="22"/>
        <w:lang w:val="en-GB" w:eastAsia="en-GB" w:bidi="en-GB"/>
      </w:rPr>
    </w:lvl>
    <w:lvl w:ilvl="1" w:tplc="7350672E">
      <w:start w:val="1"/>
      <w:numFmt w:val="lowerLetter"/>
      <w:lvlText w:val="(%2)"/>
      <w:lvlJc w:val="left"/>
      <w:pPr>
        <w:ind w:left="1024" w:hanging="396"/>
      </w:pPr>
      <w:rPr>
        <w:rFonts w:ascii="Calibri" w:eastAsia="Times New Roman" w:hAnsi="Calibri" w:cs="Calibri" w:hint="default"/>
        <w:spacing w:val="-3"/>
        <w:w w:val="99"/>
        <w:sz w:val="22"/>
        <w:szCs w:val="22"/>
        <w:lang w:val="en-GB" w:eastAsia="en-GB" w:bidi="en-GB"/>
      </w:rPr>
    </w:lvl>
    <w:lvl w:ilvl="2" w:tplc="62D626B0">
      <w:start w:val="1"/>
      <w:numFmt w:val="lowerRoman"/>
      <w:lvlText w:val="(%3)"/>
      <w:lvlJc w:val="left"/>
      <w:pPr>
        <w:ind w:left="1926" w:hanging="396"/>
      </w:pPr>
      <w:rPr>
        <w:rFonts w:ascii="Calibri" w:eastAsia="Times New Roman" w:hAnsi="Calibri" w:cs="Calibri"/>
        <w:lang w:val="en-GB" w:eastAsia="en-GB" w:bidi="en-GB"/>
      </w:rPr>
    </w:lvl>
    <w:lvl w:ilvl="3" w:tplc="7350672E">
      <w:start w:val="1"/>
      <w:numFmt w:val="lowerLetter"/>
      <w:lvlText w:val="(%4)"/>
      <w:lvlJc w:val="left"/>
      <w:pPr>
        <w:ind w:left="2822" w:hanging="396"/>
      </w:pPr>
      <w:rPr>
        <w:rFonts w:ascii="Calibri" w:eastAsia="Times New Roman" w:hAnsi="Calibri" w:cs="Calibri" w:hint="default"/>
        <w:spacing w:val="-3"/>
        <w:w w:val="99"/>
        <w:sz w:val="22"/>
        <w:szCs w:val="22"/>
        <w:lang w:val="en-GB" w:eastAsia="en-GB" w:bidi="en-GB"/>
      </w:rPr>
    </w:lvl>
    <w:lvl w:ilvl="4" w:tplc="094264C6">
      <w:numFmt w:val="bullet"/>
      <w:lvlText w:val="•"/>
      <w:lvlJc w:val="left"/>
      <w:pPr>
        <w:ind w:left="3718" w:hanging="396"/>
      </w:pPr>
      <w:rPr>
        <w:lang w:val="en-GB" w:eastAsia="en-GB" w:bidi="en-GB"/>
      </w:rPr>
    </w:lvl>
    <w:lvl w:ilvl="5" w:tplc="773806FE">
      <w:numFmt w:val="bullet"/>
      <w:lvlText w:val="•"/>
      <w:lvlJc w:val="left"/>
      <w:pPr>
        <w:ind w:left="4615" w:hanging="396"/>
      </w:pPr>
      <w:rPr>
        <w:lang w:val="en-GB" w:eastAsia="en-GB" w:bidi="en-GB"/>
      </w:rPr>
    </w:lvl>
    <w:lvl w:ilvl="6" w:tplc="814A54F2">
      <w:numFmt w:val="bullet"/>
      <w:lvlText w:val="•"/>
      <w:lvlJc w:val="left"/>
      <w:pPr>
        <w:ind w:left="5511" w:hanging="396"/>
      </w:pPr>
      <w:rPr>
        <w:lang w:val="en-GB" w:eastAsia="en-GB" w:bidi="en-GB"/>
      </w:rPr>
    </w:lvl>
    <w:lvl w:ilvl="7" w:tplc="33CEBAF8">
      <w:numFmt w:val="bullet"/>
      <w:lvlText w:val="•"/>
      <w:lvlJc w:val="left"/>
      <w:pPr>
        <w:ind w:left="6407" w:hanging="396"/>
      </w:pPr>
      <w:rPr>
        <w:lang w:val="en-GB" w:eastAsia="en-GB" w:bidi="en-GB"/>
      </w:rPr>
    </w:lvl>
    <w:lvl w:ilvl="8" w:tplc="56D807EA">
      <w:numFmt w:val="bullet"/>
      <w:lvlText w:val="•"/>
      <w:lvlJc w:val="left"/>
      <w:pPr>
        <w:ind w:left="7303" w:hanging="396"/>
      </w:pPr>
      <w:rPr>
        <w:lang w:val="en-GB" w:eastAsia="en-GB" w:bidi="en-GB"/>
      </w:rPr>
    </w:lvl>
  </w:abstractNum>
  <w:abstractNum w:abstractNumId="2" w15:restartNumberingAfterBreak="0">
    <w:nsid w:val="174C035C"/>
    <w:multiLevelType w:val="hybridMultilevel"/>
    <w:tmpl w:val="6512DAFC"/>
    <w:lvl w:ilvl="0" w:tplc="4BC41F86">
      <w:start w:val="2"/>
      <w:numFmt w:val="decimal"/>
      <w:lvlText w:val="(%1)"/>
      <w:lvlJc w:val="left"/>
      <w:pPr>
        <w:ind w:left="634" w:hanging="346"/>
      </w:pPr>
      <w:rPr>
        <w:rFonts w:ascii="Calibri" w:eastAsia="Times New Roman" w:hAnsi="Calibri" w:cs="Calibri" w:hint="default"/>
        <w:w w:val="99"/>
        <w:sz w:val="22"/>
        <w:szCs w:val="22"/>
        <w:lang w:val="en-GB" w:eastAsia="en-GB" w:bidi="en-GB"/>
      </w:rPr>
    </w:lvl>
    <w:lvl w:ilvl="1" w:tplc="D5441CF2">
      <w:start w:val="1"/>
      <w:numFmt w:val="lowerLetter"/>
      <w:lvlText w:val="(%2)"/>
      <w:lvlJc w:val="left"/>
      <w:pPr>
        <w:ind w:left="854" w:hanging="396"/>
      </w:pPr>
      <w:rPr>
        <w:rFonts w:ascii="Calibri" w:eastAsia="Times New Roman" w:hAnsi="Calibri" w:cs="Calibri" w:hint="default"/>
        <w:spacing w:val="-3"/>
        <w:w w:val="99"/>
        <w:sz w:val="22"/>
        <w:szCs w:val="22"/>
        <w:lang w:val="en-GB" w:eastAsia="en-GB" w:bidi="en-GB"/>
      </w:rPr>
    </w:lvl>
    <w:lvl w:ilvl="2" w:tplc="7350672E">
      <w:start w:val="1"/>
      <w:numFmt w:val="lowerLetter"/>
      <w:lvlText w:val="(%3)"/>
      <w:lvlJc w:val="left"/>
      <w:pPr>
        <w:ind w:left="1756" w:hanging="396"/>
      </w:pPr>
      <w:rPr>
        <w:rFonts w:ascii="Calibri" w:eastAsia="Times New Roman" w:hAnsi="Calibri" w:cs="Calibri" w:hint="default"/>
        <w:spacing w:val="-3"/>
        <w:w w:val="99"/>
        <w:sz w:val="22"/>
        <w:szCs w:val="22"/>
        <w:lang w:val="en-GB" w:eastAsia="en-GB" w:bidi="en-GB"/>
      </w:rPr>
    </w:lvl>
    <w:lvl w:ilvl="3" w:tplc="7350672E">
      <w:start w:val="1"/>
      <w:numFmt w:val="lowerLetter"/>
      <w:lvlText w:val="(%4)"/>
      <w:lvlJc w:val="left"/>
      <w:pPr>
        <w:ind w:left="2652" w:hanging="396"/>
      </w:pPr>
      <w:rPr>
        <w:rFonts w:ascii="Calibri" w:eastAsia="Times New Roman" w:hAnsi="Calibri" w:cs="Calibri" w:hint="default"/>
        <w:spacing w:val="-3"/>
        <w:w w:val="99"/>
        <w:sz w:val="22"/>
        <w:szCs w:val="22"/>
        <w:lang w:val="en-GB" w:eastAsia="en-GB" w:bidi="en-GB"/>
      </w:rPr>
    </w:lvl>
    <w:lvl w:ilvl="4" w:tplc="EAE85CD2">
      <w:numFmt w:val="bullet"/>
      <w:lvlText w:val="•"/>
      <w:lvlJc w:val="left"/>
      <w:pPr>
        <w:ind w:left="3548" w:hanging="396"/>
      </w:pPr>
      <w:rPr>
        <w:lang w:val="en-GB" w:eastAsia="en-GB" w:bidi="en-GB"/>
      </w:rPr>
    </w:lvl>
    <w:lvl w:ilvl="5" w:tplc="49DCE1BE">
      <w:numFmt w:val="bullet"/>
      <w:lvlText w:val="•"/>
      <w:lvlJc w:val="left"/>
      <w:pPr>
        <w:ind w:left="4445" w:hanging="396"/>
      </w:pPr>
      <w:rPr>
        <w:lang w:val="en-GB" w:eastAsia="en-GB" w:bidi="en-GB"/>
      </w:rPr>
    </w:lvl>
    <w:lvl w:ilvl="6" w:tplc="EBCC807C">
      <w:numFmt w:val="bullet"/>
      <w:lvlText w:val="•"/>
      <w:lvlJc w:val="left"/>
      <w:pPr>
        <w:ind w:left="5341" w:hanging="396"/>
      </w:pPr>
      <w:rPr>
        <w:lang w:val="en-GB" w:eastAsia="en-GB" w:bidi="en-GB"/>
      </w:rPr>
    </w:lvl>
    <w:lvl w:ilvl="7" w:tplc="B5BC5E3C">
      <w:numFmt w:val="bullet"/>
      <w:lvlText w:val="•"/>
      <w:lvlJc w:val="left"/>
      <w:pPr>
        <w:ind w:left="6237" w:hanging="396"/>
      </w:pPr>
      <w:rPr>
        <w:lang w:val="en-GB" w:eastAsia="en-GB" w:bidi="en-GB"/>
      </w:rPr>
    </w:lvl>
    <w:lvl w:ilvl="8" w:tplc="82F44174">
      <w:numFmt w:val="bullet"/>
      <w:lvlText w:val="•"/>
      <w:lvlJc w:val="left"/>
      <w:pPr>
        <w:ind w:left="7133" w:hanging="396"/>
      </w:pPr>
      <w:rPr>
        <w:lang w:val="en-GB" w:eastAsia="en-GB" w:bidi="en-GB"/>
      </w:rPr>
    </w:lvl>
  </w:abstractNum>
  <w:abstractNum w:abstractNumId="3" w15:restartNumberingAfterBreak="0">
    <w:nsid w:val="1D963BBB"/>
    <w:multiLevelType w:val="hybridMultilevel"/>
    <w:tmpl w:val="D3E0C8EE"/>
    <w:lvl w:ilvl="0" w:tplc="1D209ECE">
      <w:start w:val="9"/>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4" w15:restartNumberingAfterBreak="0">
    <w:nsid w:val="2BFF177C"/>
    <w:multiLevelType w:val="hybridMultilevel"/>
    <w:tmpl w:val="196CB80A"/>
    <w:lvl w:ilvl="0" w:tplc="845A17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5F3A05"/>
    <w:multiLevelType w:val="hybridMultilevel"/>
    <w:tmpl w:val="841E001A"/>
    <w:lvl w:ilvl="0" w:tplc="8ABCE35A">
      <w:start w:val="1"/>
      <w:numFmt w:val="decimal"/>
      <w:lvlText w:val="(%1)"/>
      <w:lvlJc w:val="left"/>
      <w:pPr>
        <w:ind w:left="87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109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2000" w:hanging="396"/>
      </w:pPr>
      <w:rPr>
        <w:lang w:val="en-GB" w:eastAsia="en-GB" w:bidi="en-GB"/>
      </w:rPr>
    </w:lvl>
    <w:lvl w:ilvl="3" w:tplc="74D0BCCA">
      <w:numFmt w:val="bullet"/>
      <w:lvlText w:val="•"/>
      <w:lvlJc w:val="left"/>
      <w:pPr>
        <w:ind w:left="2896" w:hanging="396"/>
      </w:pPr>
      <w:rPr>
        <w:lang w:val="en-GB" w:eastAsia="en-GB" w:bidi="en-GB"/>
      </w:rPr>
    </w:lvl>
    <w:lvl w:ilvl="4" w:tplc="2F842FB6">
      <w:numFmt w:val="bullet"/>
      <w:lvlText w:val="•"/>
      <w:lvlJc w:val="left"/>
      <w:pPr>
        <w:ind w:left="3792" w:hanging="396"/>
      </w:pPr>
      <w:rPr>
        <w:lang w:val="en-GB" w:eastAsia="en-GB" w:bidi="en-GB"/>
      </w:rPr>
    </w:lvl>
    <w:lvl w:ilvl="5" w:tplc="D7AC9842">
      <w:numFmt w:val="bullet"/>
      <w:lvlText w:val="•"/>
      <w:lvlJc w:val="left"/>
      <w:pPr>
        <w:ind w:left="4689" w:hanging="396"/>
      </w:pPr>
      <w:rPr>
        <w:lang w:val="en-GB" w:eastAsia="en-GB" w:bidi="en-GB"/>
      </w:rPr>
    </w:lvl>
    <w:lvl w:ilvl="6" w:tplc="9BEE80CC">
      <w:numFmt w:val="bullet"/>
      <w:lvlText w:val="•"/>
      <w:lvlJc w:val="left"/>
      <w:pPr>
        <w:ind w:left="5585" w:hanging="396"/>
      </w:pPr>
      <w:rPr>
        <w:lang w:val="en-GB" w:eastAsia="en-GB" w:bidi="en-GB"/>
      </w:rPr>
    </w:lvl>
    <w:lvl w:ilvl="7" w:tplc="7E0ABF0E">
      <w:numFmt w:val="bullet"/>
      <w:lvlText w:val="•"/>
      <w:lvlJc w:val="left"/>
      <w:pPr>
        <w:ind w:left="6481" w:hanging="396"/>
      </w:pPr>
      <w:rPr>
        <w:lang w:val="en-GB" w:eastAsia="en-GB" w:bidi="en-GB"/>
      </w:rPr>
    </w:lvl>
    <w:lvl w:ilvl="8" w:tplc="248C592E">
      <w:numFmt w:val="bullet"/>
      <w:lvlText w:val="•"/>
      <w:lvlJc w:val="left"/>
      <w:pPr>
        <w:ind w:left="7377" w:hanging="396"/>
      </w:pPr>
      <w:rPr>
        <w:lang w:val="en-GB" w:eastAsia="en-GB" w:bidi="en-GB"/>
      </w:rPr>
    </w:lvl>
  </w:abstractNum>
  <w:abstractNum w:abstractNumId="6" w15:restartNumberingAfterBreak="0">
    <w:nsid w:val="42EC1543"/>
    <w:multiLevelType w:val="hybridMultilevel"/>
    <w:tmpl w:val="122455E4"/>
    <w:lvl w:ilvl="0" w:tplc="9078E16A">
      <w:start w:val="2"/>
      <w:numFmt w:val="decimal"/>
      <w:lvlText w:val="(%1)"/>
      <w:lvlJc w:val="left"/>
      <w:pPr>
        <w:ind w:left="3684" w:hanging="346"/>
      </w:pPr>
      <w:rPr>
        <w:rFonts w:ascii="Calibri" w:eastAsia="Times New Roman" w:hAnsi="Calibri" w:cs="Calibri" w:hint="default"/>
        <w:w w:val="99"/>
        <w:sz w:val="22"/>
        <w:szCs w:val="22"/>
        <w:lang w:val="en-GB" w:eastAsia="en-GB" w:bidi="en-GB"/>
      </w:rPr>
    </w:lvl>
    <w:lvl w:ilvl="1" w:tplc="7350672E">
      <w:start w:val="1"/>
      <w:numFmt w:val="lowerLetter"/>
      <w:lvlText w:val="(%2)"/>
      <w:lvlJc w:val="left"/>
      <w:pPr>
        <w:ind w:left="3904" w:hanging="396"/>
      </w:pPr>
      <w:rPr>
        <w:rFonts w:ascii="Calibri" w:eastAsia="Times New Roman" w:hAnsi="Calibri" w:cs="Calibri" w:hint="default"/>
        <w:spacing w:val="-3"/>
        <w:w w:val="99"/>
        <w:sz w:val="22"/>
        <w:szCs w:val="22"/>
        <w:lang w:val="en-GB" w:eastAsia="en-GB" w:bidi="en-GB"/>
      </w:rPr>
    </w:lvl>
    <w:lvl w:ilvl="2" w:tplc="5FF6DBE0">
      <w:numFmt w:val="bullet"/>
      <w:lvlText w:val="•"/>
      <w:lvlJc w:val="left"/>
      <w:pPr>
        <w:ind w:left="4806" w:hanging="396"/>
      </w:pPr>
      <w:rPr>
        <w:lang w:val="en-GB" w:eastAsia="en-GB" w:bidi="en-GB"/>
      </w:rPr>
    </w:lvl>
    <w:lvl w:ilvl="3" w:tplc="9D24199E">
      <w:numFmt w:val="bullet"/>
      <w:lvlText w:val="•"/>
      <w:lvlJc w:val="left"/>
      <w:pPr>
        <w:ind w:left="5702" w:hanging="396"/>
      </w:pPr>
      <w:rPr>
        <w:lang w:val="en-GB" w:eastAsia="en-GB" w:bidi="en-GB"/>
      </w:rPr>
    </w:lvl>
    <w:lvl w:ilvl="4" w:tplc="094264C6">
      <w:numFmt w:val="bullet"/>
      <w:lvlText w:val="•"/>
      <w:lvlJc w:val="left"/>
      <w:pPr>
        <w:ind w:left="6598" w:hanging="396"/>
      </w:pPr>
      <w:rPr>
        <w:lang w:val="en-GB" w:eastAsia="en-GB" w:bidi="en-GB"/>
      </w:rPr>
    </w:lvl>
    <w:lvl w:ilvl="5" w:tplc="773806FE">
      <w:numFmt w:val="bullet"/>
      <w:lvlText w:val="•"/>
      <w:lvlJc w:val="left"/>
      <w:pPr>
        <w:ind w:left="7495" w:hanging="396"/>
      </w:pPr>
      <w:rPr>
        <w:lang w:val="en-GB" w:eastAsia="en-GB" w:bidi="en-GB"/>
      </w:rPr>
    </w:lvl>
    <w:lvl w:ilvl="6" w:tplc="814A54F2">
      <w:numFmt w:val="bullet"/>
      <w:lvlText w:val="•"/>
      <w:lvlJc w:val="left"/>
      <w:pPr>
        <w:ind w:left="8391" w:hanging="396"/>
      </w:pPr>
      <w:rPr>
        <w:lang w:val="en-GB" w:eastAsia="en-GB" w:bidi="en-GB"/>
      </w:rPr>
    </w:lvl>
    <w:lvl w:ilvl="7" w:tplc="33CEBAF8">
      <w:numFmt w:val="bullet"/>
      <w:lvlText w:val="•"/>
      <w:lvlJc w:val="left"/>
      <w:pPr>
        <w:ind w:left="9287" w:hanging="396"/>
      </w:pPr>
      <w:rPr>
        <w:lang w:val="en-GB" w:eastAsia="en-GB" w:bidi="en-GB"/>
      </w:rPr>
    </w:lvl>
    <w:lvl w:ilvl="8" w:tplc="56D807EA">
      <w:numFmt w:val="bullet"/>
      <w:lvlText w:val="•"/>
      <w:lvlJc w:val="left"/>
      <w:pPr>
        <w:ind w:left="10183" w:hanging="396"/>
      </w:pPr>
      <w:rPr>
        <w:lang w:val="en-GB" w:eastAsia="en-GB" w:bidi="en-GB"/>
      </w:rPr>
    </w:lvl>
  </w:abstractNum>
  <w:abstractNum w:abstractNumId="7" w15:restartNumberingAfterBreak="0">
    <w:nsid w:val="57495C57"/>
    <w:multiLevelType w:val="hybridMultilevel"/>
    <w:tmpl w:val="64C68DFC"/>
    <w:lvl w:ilvl="0" w:tplc="9A482EFA">
      <w:start w:val="2"/>
      <w:numFmt w:val="decimal"/>
      <w:lvlText w:val="(%1)"/>
      <w:lvlJc w:val="left"/>
      <w:pPr>
        <w:ind w:left="1268" w:hanging="346"/>
      </w:pPr>
      <w:rPr>
        <w:rFonts w:ascii="Calibri" w:eastAsia="Times New Roman" w:hAnsi="Calibri" w:cs="Calibri" w:hint="default"/>
        <w:w w:val="99"/>
        <w:sz w:val="22"/>
        <w:szCs w:val="22"/>
        <w:lang w:val="en-GB" w:eastAsia="en-GB" w:bidi="en-GB"/>
      </w:rPr>
    </w:lvl>
    <w:lvl w:ilvl="1" w:tplc="E4927164">
      <w:start w:val="1"/>
      <w:numFmt w:val="lowerLetter"/>
      <w:lvlText w:val="(%2)"/>
      <w:lvlJc w:val="left"/>
      <w:pPr>
        <w:ind w:left="1488" w:hanging="396"/>
      </w:pPr>
      <w:rPr>
        <w:rFonts w:ascii="Calibri" w:eastAsia="Times New Roman" w:hAnsi="Calibri" w:cs="Calibri"/>
        <w:spacing w:val="-2"/>
        <w:w w:val="99"/>
        <w:sz w:val="22"/>
        <w:szCs w:val="22"/>
        <w:lang w:val="en-GB" w:eastAsia="en-GB" w:bidi="en-GB"/>
      </w:rPr>
    </w:lvl>
    <w:lvl w:ilvl="2" w:tplc="9A482EFA">
      <w:start w:val="2"/>
      <w:numFmt w:val="decimal"/>
      <w:lvlText w:val="(%3)"/>
      <w:lvlJc w:val="left"/>
      <w:pPr>
        <w:ind w:left="2390" w:hanging="396"/>
      </w:pPr>
      <w:rPr>
        <w:rFonts w:ascii="Calibri" w:eastAsia="Times New Roman" w:hAnsi="Calibri" w:cs="Calibri" w:hint="default"/>
        <w:w w:val="99"/>
        <w:sz w:val="22"/>
        <w:szCs w:val="22"/>
        <w:lang w:val="en-GB" w:eastAsia="en-GB" w:bidi="en-GB"/>
      </w:rPr>
    </w:lvl>
    <w:lvl w:ilvl="3" w:tplc="7BCA89CE">
      <w:numFmt w:val="bullet"/>
      <w:lvlText w:val="•"/>
      <w:lvlJc w:val="left"/>
      <w:pPr>
        <w:ind w:left="3286" w:hanging="396"/>
      </w:pPr>
      <w:rPr>
        <w:lang w:val="en-GB" w:eastAsia="en-GB" w:bidi="en-GB"/>
      </w:rPr>
    </w:lvl>
    <w:lvl w:ilvl="4" w:tplc="0BB2FE80">
      <w:numFmt w:val="bullet"/>
      <w:lvlText w:val="•"/>
      <w:lvlJc w:val="left"/>
      <w:pPr>
        <w:ind w:left="4182" w:hanging="396"/>
      </w:pPr>
      <w:rPr>
        <w:lang w:val="en-GB" w:eastAsia="en-GB" w:bidi="en-GB"/>
      </w:rPr>
    </w:lvl>
    <w:lvl w:ilvl="5" w:tplc="1BEECA9E">
      <w:numFmt w:val="bullet"/>
      <w:lvlText w:val="•"/>
      <w:lvlJc w:val="left"/>
      <w:pPr>
        <w:ind w:left="5079" w:hanging="396"/>
      </w:pPr>
      <w:rPr>
        <w:lang w:val="en-GB" w:eastAsia="en-GB" w:bidi="en-GB"/>
      </w:rPr>
    </w:lvl>
    <w:lvl w:ilvl="6" w:tplc="8612E64E">
      <w:numFmt w:val="bullet"/>
      <w:lvlText w:val="•"/>
      <w:lvlJc w:val="left"/>
      <w:pPr>
        <w:ind w:left="5975" w:hanging="396"/>
      </w:pPr>
      <w:rPr>
        <w:lang w:val="en-GB" w:eastAsia="en-GB" w:bidi="en-GB"/>
      </w:rPr>
    </w:lvl>
    <w:lvl w:ilvl="7" w:tplc="C8644D80">
      <w:numFmt w:val="bullet"/>
      <w:lvlText w:val="•"/>
      <w:lvlJc w:val="left"/>
      <w:pPr>
        <w:ind w:left="6871" w:hanging="396"/>
      </w:pPr>
      <w:rPr>
        <w:lang w:val="en-GB" w:eastAsia="en-GB" w:bidi="en-GB"/>
      </w:rPr>
    </w:lvl>
    <w:lvl w:ilvl="8" w:tplc="9F1467FA">
      <w:numFmt w:val="bullet"/>
      <w:lvlText w:val="•"/>
      <w:lvlJc w:val="left"/>
      <w:pPr>
        <w:ind w:left="7767" w:hanging="396"/>
      </w:pPr>
      <w:rPr>
        <w:lang w:val="en-GB" w:eastAsia="en-GB" w:bidi="en-GB"/>
      </w:rPr>
    </w:lvl>
  </w:abstractNum>
  <w:abstractNum w:abstractNumId="8" w15:restartNumberingAfterBreak="0">
    <w:nsid w:val="61566233"/>
    <w:multiLevelType w:val="hybridMultilevel"/>
    <w:tmpl w:val="1294051C"/>
    <w:lvl w:ilvl="0" w:tplc="8ABCE35A">
      <w:start w:val="1"/>
      <w:numFmt w:val="decimal"/>
      <w:lvlText w:val="(%1)"/>
      <w:lvlJc w:val="left"/>
      <w:pPr>
        <w:ind w:left="48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70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1610" w:hanging="396"/>
      </w:pPr>
      <w:rPr>
        <w:lang w:val="en-GB" w:eastAsia="en-GB" w:bidi="en-GB"/>
      </w:rPr>
    </w:lvl>
    <w:lvl w:ilvl="3" w:tplc="7350672E">
      <w:start w:val="1"/>
      <w:numFmt w:val="lowerLetter"/>
      <w:lvlText w:val="(%4)"/>
      <w:lvlJc w:val="left"/>
      <w:pPr>
        <w:ind w:left="2506" w:hanging="396"/>
      </w:pPr>
      <w:rPr>
        <w:rFonts w:ascii="Calibri" w:eastAsia="Times New Roman" w:hAnsi="Calibri" w:cs="Calibri" w:hint="default"/>
        <w:spacing w:val="-3"/>
        <w:w w:val="99"/>
        <w:sz w:val="22"/>
        <w:szCs w:val="22"/>
        <w:lang w:val="en-GB" w:eastAsia="en-GB" w:bidi="en-GB"/>
      </w:rPr>
    </w:lvl>
    <w:lvl w:ilvl="4" w:tplc="2F842FB6">
      <w:numFmt w:val="bullet"/>
      <w:lvlText w:val="•"/>
      <w:lvlJc w:val="left"/>
      <w:pPr>
        <w:ind w:left="3402" w:hanging="396"/>
      </w:pPr>
      <w:rPr>
        <w:lang w:val="en-GB" w:eastAsia="en-GB" w:bidi="en-GB"/>
      </w:rPr>
    </w:lvl>
    <w:lvl w:ilvl="5" w:tplc="D7AC9842">
      <w:numFmt w:val="bullet"/>
      <w:lvlText w:val="•"/>
      <w:lvlJc w:val="left"/>
      <w:pPr>
        <w:ind w:left="4299" w:hanging="396"/>
      </w:pPr>
      <w:rPr>
        <w:lang w:val="en-GB" w:eastAsia="en-GB" w:bidi="en-GB"/>
      </w:rPr>
    </w:lvl>
    <w:lvl w:ilvl="6" w:tplc="9BEE80CC">
      <w:numFmt w:val="bullet"/>
      <w:lvlText w:val="•"/>
      <w:lvlJc w:val="left"/>
      <w:pPr>
        <w:ind w:left="5195" w:hanging="396"/>
      </w:pPr>
      <w:rPr>
        <w:lang w:val="en-GB" w:eastAsia="en-GB" w:bidi="en-GB"/>
      </w:rPr>
    </w:lvl>
    <w:lvl w:ilvl="7" w:tplc="7E0ABF0E">
      <w:numFmt w:val="bullet"/>
      <w:lvlText w:val="•"/>
      <w:lvlJc w:val="left"/>
      <w:pPr>
        <w:ind w:left="6091" w:hanging="396"/>
      </w:pPr>
      <w:rPr>
        <w:lang w:val="en-GB" w:eastAsia="en-GB" w:bidi="en-GB"/>
      </w:rPr>
    </w:lvl>
    <w:lvl w:ilvl="8" w:tplc="248C592E">
      <w:numFmt w:val="bullet"/>
      <w:lvlText w:val="•"/>
      <w:lvlJc w:val="left"/>
      <w:pPr>
        <w:ind w:left="6987" w:hanging="396"/>
      </w:pPr>
      <w:rPr>
        <w:lang w:val="en-GB" w:eastAsia="en-GB" w:bidi="en-GB"/>
      </w:rPr>
    </w:lvl>
  </w:abstractNum>
  <w:abstractNum w:abstractNumId="9" w15:restartNumberingAfterBreak="0">
    <w:nsid w:val="75E349D0"/>
    <w:multiLevelType w:val="hybridMultilevel"/>
    <w:tmpl w:val="93B409BC"/>
    <w:lvl w:ilvl="0" w:tplc="FE2A45A2">
      <w:start w:val="2"/>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0" w15:restartNumberingAfterBreak="0">
    <w:nsid w:val="76A61395"/>
    <w:multiLevelType w:val="hybridMultilevel"/>
    <w:tmpl w:val="F80C9520"/>
    <w:lvl w:ilvl="0" w:tplc="7350672E">
      <w:start w:val="1"/>
      <w:numFmt w:val="lowerLetter"/>
      <w:lvlText w:val="(%1)"/>
      <w:lvlJc w:val="left"/>
      <w:pPr>
        <w:ind w:left="2714" w:hanging="360"/>
      </w:pPr>
      <w:rPr>
        <w:rFonts w:ascii="Calibri" w:eastAsia="Times New Roman" w:hAnsi="Calibri" w:cs="Calibri" w:hint="default"/>
        <w:spacing w:val="-3"/>
        <w:w w:val="99"/>
        <w:sz w:val="22"/>
        <w:szCs w:val="22"/>
        <w:lang w:val="en-GB" w:eastAsia="en-GB" w:bidi="en-GB"/>
      </w:rPr>
    </w:lvl>
    <w:lvl w:ilvl="1" w:tplc="08090019">
      <w:start w:val="1"/>
      <w:numFmt w:val="lowerLetter"/>
      <w:lvlText w:val="%2."/>
      <w:lvlJc w:val="left"/>
      <w:pPr>
        <w:ind w:left="3434" w:hanging="360"/>
      </w:pPr>
    </w:lvl>
    <w:lvl w:ilvl="2" w:tplc="0809001B">
      <w:start w:val="1"/>
      <w:numFmt w:val="lowerRoman"/>
      <w:lvlText w:val="%3."/>
      <w:lvlJc w:val="right"/>
      <w:pPr>
        <w:ind w:left="4154" w:hanging="180"/>
      </w:pPr>
    </w:lvl>
    <w:lvl w:ilvl="3" w:tplc="0809000F">
      <w:start w:val="1"/>
      <w:numFmt w:val="decimal"/>
      <w:lvlText w:val="%4."/>
      <w:lvlJc w:val="left"/>
      <w:pPr>
        <w:ind w:left="4874" w:hanging="360"/>
      </w:pPr>
    </w:lvl>
    <w:lvl w:ilvl="4" w:tplc="08090019">
      <w:start w:val="1"/>
      <w:numFmt w:val="lowerLetter"/>
      <w:lvlText w:val="%5."/>
      <w:lvlJc w:val="left"/>
      <w:pPr>
        <w:ind w:left="5594" w:hanging="360"/>
      </w:pPr>
    </w:lvl>
    <w:lvl w:ilvl="5" w:tplc="0809001B">
      <w:start w:val="1"/>
      <w:numFmt w:val="lowerRoman"/>
      <w:lvlText w:val="%6."/>
      <w:lvlJc w:val="right"/>
      <w:pPr>
        <w:ind w:left="6314" w:hanging="180"/>
      </w:pPr>
    </w:lvl>
    <w:lvl w:ilvl="6" w:tplc="0809000F">
      <w:start w:val="1"/>
      <w:numFmt w:val="decimal"/>
      <w:lvlText w:val="%7."/>
      <w:lvlJc w:val="left"/>
      <w:pPr>
        <w:ind w:left="7034" w:hanging="360"/>
      </w:pPr>
    </w:lvl>
    <w:lvl w:ilvl="7" w:tplc="08090019">
      <w:start w:val="1"/>
      <w:numFmt w:val="lowerLetter"/>
      <w:lvlText w:val="%8."/>
      <w:lvlJc w:val="left"/>
      <w:pPr>
        <w:ind w:left="7754" w:hanging="360"/>
      </w:pPr>
    </w:lvl>
    <w:lvl w:ilvl="8" w:tplc="0809001B">
      <w:start w:val="1"/>
      <w:numFmt w:val="lowerRoman"/>
      <w:lvlText w:val="%9."/>
      <w:lvlJc w:val="right"/>
      <w:pPr>
        <w:ind w:left="8474" w:hanging="180"/>
      </w:pPr>
    </w:lvl>
  </w:abstractNum>
  <w:num w:numId="1" w16cid:durableId="8409952">
    <w:abstractNumId w:val="7"/>
    <w:lvlOverride w:ilvl="0">
      <w:startOverride w:val="2"/>
    </w:lvlOverride>
    <w:lvlOverride w:ilvl="1">
      <w:startOverride w:val="1"/>
    </w:lvlOverride>
    <w:lvlOverride w:ilvl="2">
      <w:startOverride w:val="2"/>
    </w:lvlOverride>
    <w:lvlOverride w:ilvl="3"/>
    <w:lvlOverride w:ilvl="4"/>
    <w:lvlOverride w:ilvl="5"/>
    <w:lvlOverride w:ilvl="6"/>
    <w:lvlOverride w:ilvl="7"/>
    <w:lvlOverride w:ilvl="8"/>
  </w:num>
  <w:num w:numId="2" w16cid:durableId="1440758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832293">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4" w16cid:durableId="1941062907">
    <w:abstractNumId w:val="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51546109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347610680">
    <w:abstractNumId w:val="8"/>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7" w16cid:durableId="2100710767">
    <w:abstractNumId w:val="0"/>
    <w:lvlOverride w:ilvl="0">
      <w:startOverride w:val="35"/>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8" w16cid:durableId="1382250076">
    <w:abstractNumId w:val="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97139556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540699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6097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DA"/>
    <w:rsid w:val="0002490C"/>
    <w:rsid w:val="000503EB"/>
    <w:rsid w:val="0007034F"/>
    <w:rsid w:val="000C64FE"/>
    <w:rsid w:val="00164889"/>
    <w:rsid w:val="002F08BB"/>
    <w:rsid w:val="004C01AF"/>
    <w:rsid w:val="004F6FB6"/>
    <w:rsid w:val="00512FED"/>
    <w:rsid w:val="00515EB7"/>
    <w:rsid w:val="00516E04"/>
    <w:rsid w:val="005A237C"/>
    <w:rsid w:val="005A55FC"/>
    <w:rsid w:val="005A7D74"/>
    <w:rsid w:val="006B1105"/>
    <w:rsid w:val="007E3119"/>
    <w:rsid w:val="00840782"/>
    <w:rsid w:val="008A08A0"/>
    <w:rsid w:val="008B5DD4"/>
    <w:rsid w:val="00A315AF"/>
    <w:rsid w:val="00A319C2"/>
    <w:rsid w:val="00AD2DDE"/>
    <w:rsid w:val="00B66F56"/>
    <w:rsid w:val="00BE24B0"/>
    <w:rsid w:val="00C228B9"/>
    <w:rsid w:val="00C50724"/>
    <w:rsid w:val="00C77DE2"/>
    <w:rsid w:val="00CF1A98"/>
    <w:rsid w:val="00D15AD8"/>
    <w:rsid w:val="00D256DA"/>
    <w:rsid w:val="00EF6CD8"/>
    <w:rsid w:val="00F7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6071"/>
  <w15:chartTrackingRefBased/>
  <w15:docId w15:val="{1C8E3A29-02C3-4E19-B20A-2846DF07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256DA"/>
    <w:pPr>
      <w:widowControl w:val="0"/>
      <w:autoSpaceDE w:val="0"/>
      <w:autoSpaceDN w:val="0"/>
      <w:spacing w:after="0" w:line="240" w:lineRule="auto"/>
      <w:ind w:left="854"/>
    </w:pPr>
    <w:rPr>
      <w:rFonts w:ascii="Times New Roman" w:eastAsia="Times New Roman" w:hAnsi="Times New Roman"/>
      <w:sz w:val="24"/>
      <w:szCs w:val="24"/>
      <w:lang w:eastAsia="en-GB" w:bidi="en-GB"/>
    </w:rPr>
  </w:style>
  <w:style w:type="character" w:customStyle="1" w:styleId="BodyTextChar">
    <w:name w:val="Body Text Char"/>
    <w:link w:val="BodyText"/>
    <w:uiPriority w:val="1"/>
    <w:semiHidden/>
    <w:rsid w:val="00D256DA"/>
    <w:rPr>
      <w:rFonts w:ascii="Times New Roman" w:eastAsia="Times New Roman" w:hAnsi="Times New Roman"/>
      <w:sz w:val="24"/>
      <w:szCs w:val="24"/>
      <w:lang w:bidi="en-GB"/>
    </w:rPr>
  </w:style>
  <w:style w:type="paragraph" w:styleId="ListParagraph">
    <w:name w:val="List Paragraph"/>
    <w:basedOn w:val="Normal"/>
    <w:uiPriority w:val="1"/>
    <w:qFormat/>
    <w:rsid w:val="00D256DA"/>
    <w:pPr>
      <w:widowControl w:val="0"/>
      <w:autoSpaceDE w:val="0"/>
      <w:autoSpaceDN w:val="0"/>
      <w:spacing w:before="79" w:after="0" w:line="240" w:lineRule="auto"/>
      <w:ind w:left="854" w:hanging="397"/>
    </w:pPr>
    <w:rPr>
      <w:rFonts w:ascii="Times New Roman" w:eastAsia="Times New Roman" w:hAnsi="Times New Roman"/>
      <w:lang w:eastAsia="en-GB" w:bidi="en-GB"/>
    </w:rPr>
  </w:style>
  <w:style w:type="paragraph" w:customStyle="1" w:styleId="legp1paratext">
    <w:name w:val="legp1paratext"/>
    <w:basedOn w:val="Normal"/>
    <w:rsid w:val="00D256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p2paratext">
    <w:name w:val="legp2paratext"/>
    <w:basedOn w:val="Normal"/>
    <w:rsid w:val="00D256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clearfix">
    <w:name w:val="legclearfix"/>
    <w:basedOn w:val="Normal"/>
    <w:rsid w:val="00D256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rhs">
    <w:name w:val="legrhs"/>
    <w:basedOn w:val="Normal"/>
    <w:rsid w:val="00D256D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p1no">
    <w:name w:val="legp1no"/>
    <w:rsid w:val="00D256DA"/>
  </w:style>
  <w:style w:type="character" w:customStyle="1" w:styleId="legds">
    <w:name w:val="legds"/>
    <w:rsid w:val="00D256DA"/>
  </w:style>
  <w:style w:type="character" w:customStyle="1" w:styleId="legterm">
    <w:name w:val="legterm"/>
    <w:rsid w:val="00D256DA"/>
  </w:style>
  <w:style w:type="paragraph" w:styleId="Header">
    <w:name w:val="header"/>
    <w:basedOn w:val="Normal"/>
    <w:link w:val="HeaderChar"/>
    <w:uiPriority w:val="99"/>
    <w:unhideWhenUsed/>
    <w:rsid w:val="00D256DA"/>
    <w:pPr>
      <w:tabs>
        <w:tab w:val="center" w:pos="4513"/>
        <w:tab w:val="right" w:pos="9026"/>
      </w:tabs>
    </w:pPr>
  </w:style>
  <w:style w:type="character" w:customStyle="1" w:styleId="HeaderChar">
    <w:name w:val="Header Char"/>
    <w:link w:val="Header"/>
    <w:uiPriority w:val="99"/>
    <w:rsid w:val="00D256DA"/>
    <w:rPr>
      <w:sz w:val="22"/>
      <w:szCs w:val="22"/>
      <w:lang w:eastAsia="en-US"/>
    </w:rPr>
  </w:style>
  <w:style w:type="paragraph" w:styleId="Footer">
    <w:name w:val="footer"/>
    <w:basedOn w:val="Normal"/>
    <w:link w:val="FooterChar"/>
    <w:uiPriority w:val="99"/>
    <w:unhideWhenUsed/>
    <w:rsid w:val="00D256DA"/>
    <w:pPr>
      <w:tabs>
        <w:tab w:val="center" w:pos="4513"/>
        <w:tab w:val="right" w:pos="9026"/>
      </w:tabs>
    </w:pPr>
  </w:style>
  <w:style w:type="character" w:customStyle="1" w:styleId="FooterChar">
    <w:name w:val="Footer Char"/>
    <w:link w:val="Footer"/>
    <w:uiPriority w:val="99"/>
    <w:rsid w:val="00D256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lii.org/uk/cases/UKUT/AAC/2015/61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AD49-6767-44E1-B9A7-F923E699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4550</Words>
  <Characters>22923</Characters>
  <Application>Microsoft Office Word</Application>
  <DocSecurity>0</DocSecurity>
  <Lines>598</Lines>
  <Paragraphs>136</Paragraphs>
  <ScaleCrop>false</ScaleCrop>
  <HeadingPairs>
    <vt:vector size="2" baseType="variant">
      <vt:variant>
        <vt:lpstr>Title</vt:lpstr>
      </vt:variant>
      <vt:variant>
        <vt:i4>1</vt:i4>
      </vt:variant>
    </vt:vector>
  </HeadingPairs>
  <TitlesOfParts>
    <vt:vector size="1" baseType="lpstr">
      <vt:lpstr>C2/21-22(UC)</vt:lpstr>
    </vt:vector>
  </TitlesOfParts>
  <Company/>
  <LinksUpToDate>false</LinksUpToDate>
  <CharactersWithSpaces>27576</CharactersWithSpaces>
  <SharedDoc>false</SharedDoc>
  <HLinks>
    <vt:vector size="6" baseType="variant">
      <vt:variant>
        <vt:i4>6488118</vt:i4>
      </vt:variant>
      <vt:variant>
        <vt:i4>0</vt:i4>
      </vt:variant>
      <vt:variant>
        <vt:i4>0</vt:i4>
      </vt:variant>
      <vt:variant>
        <vt:i4>5</vt:i4>
      </vt:variant>
      <vt:variant>
        <vt:lpwstr>https://www.bailii.org/uk/cases/UKUT/AAC/2015/618.html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C2/21-22(UC)</dc:title>
  <dc:subject/>
  <dc:creator>Bowman, Marie</dc:creator>
  <cp:keywords/>
  <dc:description/>
  <cp:lastModifiedBy>Bowman, Marie</cp:lastModifiedBy>
  <cp:revision>2</cp:revision>
  <dcterms:created xsi:type="dcterms:W3CDTF">2022-10-31T11:32:00Z</dcterms:created>
  <dcterms:modified xsi:type="dcterms:W3CDTF">2022-10-31T11:32:00Z</dcterms:modified>
</cp:coreProperties>
</file>