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8298" w14:textId="187EAE07" w:rsidR="00757604" w:rsidRPr="00263BAD" w:rsidRDefault="00757604" w:rsidP="00AD09B8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263BAD">
        <w:rPr>
          <w:rFonts w:ascii="Arial" w:eastAsia="Calibri" w:hAnsi="Arial" w:cs="Arial"/>
          <w:bCs/>
          <w:sz w:val="24"/>
          <w:szCs w:val="24"/>
        </w:rPr>
        <w:t xml:space="preserve">PW-v-Department for Communities (PIP) [2023] NICom </w:t>
      </w:r>
      <w:r w:rsidR="00D076AA" w:rsidRPr="00263BAD">
        <w:rPr>
          <w:rFonts w:ascii="Arial" w:eastAsia="Calibri" w:hAnsi="Arial" w:cs="Arial"/>
          <w:bCs/>
          <w:sz w:val="24"/>
          <w:szCs w:val="24"/>
        </w:rPr>
        <w:t>39</w:t>
      </w:r>
    </w:p>
    <w:p w14:paraId="1F84E053" w14:textId="77777777" w:rsidR="00757604" w:rsidRPr="00263BAD" w:rsidRDefault="00757604" w:rsidP="00AD09B8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14:paraId="2FE4C68D" w14:textId="01C06618" w:rsidR="007B28BF" w:rsidRPr="00263BAD" w:rsidRDefault="007B28BF" w:rsidP="00AD09B8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263BAD">
        <w:rPr>
          <w:rFonts w:ascii="Arial" w:eastAsia="Calibri" w:hAnsi="Arial" w:cs="Arial"/>
          <w:bCs/>
          <w:sz w:val="24"/>
          <w:szCs w:val="24"/>
        </w:rPr>
        <w:t xml:space="preserve">Decision No: </w:t>
      </w:r>
      <w:r w:rsidR="00263BA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63BAD">
        <w:rPr>
          <w:rFonts w:ascii="Arial" w:eastAsia="Calibri" w:hAnsi="Arial" w:cs="Arial"/>
          <w:bCs/>
          <w:sz w:val="24"/>
          <w:szCs w:val="24"/>
        </w:rPr>
        <w:t>C5/23-24(PIP)</w:t>
      </w:r>
    </w:p>
    <w:p w14:paraId="0FF2A075" w14:textId="6E232028" w:rsidR="007B28BF" w:rsidRPr="00263BAD" w:rsidRDefault="007B28BF" w:rsidP="00AD09B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A026019" w14:textId="4280C607" w:rsidR="007B28BF" w:rsidRPr="00263BAD" w:rsidRDefault="007B28BF" w:rsidP="00AD09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82D96BD" w14:textId="77777777" w:rsidR="007B28BF" w:rsidRPr="00263BAD" w:rsidRDefault="007B28BF" w:rsidP="00AD09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FCD3F0" w14:textId="77777777" w:rsidR="007B28BF" w:rsidRPr="00263BAD" w:rsidRDefault="007B28BF" w:rsidP="00AD09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95B5AA9" w14:textId="77777777" w:rsidR="007B28BF" w:rsidRPr="00263BAD" w:rsidRDefault="007B28BF" w:rsidP="00AD09B8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  <w:r w:rsidRPr="00263BAD">
        <w:rPr>
          <w:rFonts w:ascii="Arial" w:eastAsia="Calibri" w:hAnsi="Arial" w:cs="Arial"/>
          <w:b/>
          <w:bCs/>
          <w:spacing w:val="-3"/>
          <w:sz w:val="24"/>
          <w:szCs w:val="24"/>
        </w:rPr>
        <w:t>SOCIAL SECURITY ADMINISTRATION (NORTHERN IRELAND) ACT 1992</w:t>
      </w:r>
    </w:p>
    <w:p w14:paraId="10B1A8EA" w14:textId="77777777" w:rsidR="007B28BF" w:rsidRPr="00263BAD" w:rsidRDefault="007B28BF" w:rsidP="00AD09B8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</w:p>
    <w:p w14:paraId="0AA9D03C" w14:textId="77777777" w:rsidR="007B28BF" w:rsidRPr="00263BAD" w:rsidRDefault="007B28BF" w:rsidP="00AD09B8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 w:rsidRPr="00263BAD">
        <w:rPr>
          <w:rFonts w:ascii="Arial" w:eastAsia="Times New Roman" w:hAnsi="Arial" w:cs="Arial"/>
          <w:b/>
          <w:bCs/>
          <w:spacing w:val="-3"/>
          <w:sz w:val="24"/>
          <w:szCs w:val="24"/>
        </w:rPr>
        <w:t>SOCIAL SECURITY (NORTHERN IRELAND) ORDER 1998</w:t>
      </w:r>
    </w:p>
    <w:p w14:paraId="2FA63C41" w14:textId="77777777" w:rsidR="007B28BF" w:rsidRDefault="007B28BF" w:rsidP="00AD09B8">
      <w:pPr>
        <w:spacing w:after="0" w:line="240" w:lineRule="auto"/>
        <w:jc w:val="center"/>
        <w:rPr>
          <w:rFonts w:ascii="Arial" w:eastAsia="Calibri" w:hAnsi="Arial" w:cs="Arial"/>
          <w:spacing w:val="-3"/>
          <w:sz w:val="24"/>
          <w:szCs w:val="24"/>
        </w:rPr>
      </w:pPr>
    </w:p>
    <w:p w14:paraId="07483FE4" w14:textId="77777777" w:rsidR="00AD09B8" w:rsidRPr="00263BAD" w:rsidRDefault="00AD09B8" w:rsidP="00AD09B8">
      <w:pPr>
        <w:spacing w:after="0" w:line="240" w:lineRule="auto"/>
        <w:jc w:val="center"/>
        <w:rPr>
          <w:rFonts w:ascii="Arial" w:eastAsia="Calibri" w:hAnsi="Arial" w:cs="Arial"/>
          <w:spacing w:val="-3"/>
          <w:sz w:val="24"/>
          <w:szCs w:val="24"/>
        </w:rPr>
      </w:pPr>
    </w:p>
    <w:p w14:paraId="176254C5" w14:textId="60A35E31" w:rsidR="007B28BF" w:rsidRPr="00263BAD" w:rsidRDefault="007B28BF" w:rsidP="00AD09B8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  <w:sz w:val="24"/>
          <w:szCs w:val="24"/>
          <w:u w:val="single"/>
        </w:rPr>
      </w:pPr>
      <w:r w:rsidRPr="00263BAD">
        <w:rPr>
          <w:rFonts w:ascii="Arial" w:eastAsia="Calibri" w:hAnsi="Arial" w:cs="Arial"/>
          <w:b/>
          <w:bCs/>
          <w:spacing w:val="-3"/>
          <w:sz w:val="24"/>
          <w:szCs w:val="24"/>
          <w:u w:val="single"/>
        </w:rPr>
        <w:t>PERSONAL INDEPENDENCE PAYMENT</w:t>
      </w:r>
    </w:p>
    <w:p w14:paraId="325AC429" w14:textId="77777777" w:rsidR="007B28BF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002A152F" w14:textId="77777777" w:rsidR="00AD09B8" w:rsidRPr="00263BAD" w:rsidRDefault="00AD09B8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5F243461" w14:textId="4BB1FF22" w:rsidR="007B28BF" w:rsidRPr="00263BAD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263BAD">
        <w:rPr>
          <w:rFonts w:ascii="Arial" w:hAnsi="Arial" w:cs="Arial"/>
          <w:spacing w:val="-3"/>
          <w:sz w:val="24"/>
          <w:szCs w:val="24"/>
        </w:rPr>
        <w:t>Application to a Social Security Commissioner</w:t>
      </w:r>
    </w:p>
    <w:p w14:paraId="0AFA6521" w14:textId="06958B14" w:rsidR="007B28BF" w:rsidRPr="00263BAD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263BAD">
        <w:rPr>
          <w:rFonts w:ascii="Arial" w:hAnsi="Arial" w:cs="Arial"/>
          <w:spacing w:val="-3"/>
          <w:sz w:val="24"/>
          <w:szCs w:val="24"/>
        </w:rPr>
        <w:t>for leave to appeal on a question of law from the decision of a Tribunal</w:t>
      </w:r>
    </w:p>
    <w:p w14:paraId="43064814" w14:textId="32053BEF" w:rsidR="007B28BF" w:rsidRPr="00263BAD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263BAD">
        <w:rPr>
          <w:rFonts w:ascii="Arial" w:hAnsi="Arial" w:cs="Arial"/>
          <w:spacing w:val="-3"/>
          <w:sz w:val="24"/>
          <w:szCs w:val="24"/>
        </w:rPr>
        <w:t>dated 4 July 2022</w:t>
      </w:r>
    </w:p>
    <w:p w14:paraId="6307FDBB" w14:textId="77777777" w:rsidR="007B28BF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3C108147" w14:textId="77777777" w:rsidR="00AD09B8" w:rsidRPr="00263BAD" w:rsidRDefault="00AD09B8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</w:rPr>
      </w:pPr>
    </w:p>
    <w:p w14:paraId="449DE04D" w14:textId="0DD9061C" w:rsidR="007B28BF" w:rsidRPr="00263BAD" w:rsidRDefault="007B28BF" w:rsidP="00AD09B8">
      <w:pPr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u w:val="single"/>
        </w:rPr>
      </w:pPr>
      <w:r w:rsidRPr="00263BAD">
        <w:rPr>
          <w:rFonts w:ascii="Arial" w:hAnsi="Arial" w:cs="Arial"/>
          <w:spacing w:val="-3"/>
          <w:sz w:val="24"/>
          <w:szCs w:val="24"/>
          <w:u w:val="single"/>
        </w:rPr>
        <w:t>DECISION OF THE SOCIAL SECURITY COMMISSIONER</w:t>
      </w:r>
    </w:p>
    <w:p w14:paraId="77B2BCFD" w14:textId="77777777" w:rsidR="007B28BF" w:rsidRPr="00AD09B8" w:rsidRDefault="007B28BF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F96AF" w14:textId="77777777" w:rsidR="00AD09B8" w:rsidRPr="00AD09B8" w:rsidRDefault="00AD09B8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094001" w14:textId="5F85D61C" w:rsidR="007B28BF" w:rsidRPr="00263BAD" w:rsidRDefault="006F7299" w:rsidP="00B330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BAD">
        <w:rPr>
          <w:rFonts w:ascii="Arial" w:hAnsi="Arial" w:cs="Arial"/>
          <w:sz w:val="24"/>
          <w:szCs w:val="24"/>
        </w:rPr>
        <w:t xml:space="preserve">The appeal is </w:t>
      </w:r>
      <w:r w:rsidR="007B28BF" w:rsidRPr="00263BAD">
        <w:rPr>
          <w:rFonts w:ascii="Arial" w:hAnsi="Arial" w:cs="Arial"/>
          <w:sz w:val="24"/>
          <w:szCs w:val="24"/>
        </w:rPr>
        <w:t>allow</w:t>
      </w:r>
      <w:r w:rsidRPr="00263BAD">
        <w:rPr>
          <w:rFonts w:ascii="Arial" w:hAnsi="Arial" w:cs="Arial"/>
          <w:sz w:val="24"/>
          <w:szCs w:val="24"/>
        </w:rPr>
        <w:t>ed</w:t>
      </w:r>
      <w:r w:rsidR="002B7D4B" w:rsidRPr="00263BAD">
        <w:rPr>
          <w:rFonts w:ascii="Arial" w:hAnsi="Arial" w:cs="Arial"/>
          <w:sz w:val="24"/>
          <w:szCs w:val="24"/>
        </w:rPr>
        <w:t xml:space="preserve">. </w:t>
      </w:r>
      <w:r w:rsidR="00B330D8">
        <w:rPr>
          <w:rFonts w:ascii="Arial" w:hAnsi="Arial" w:cs="Arial"/>
          <w:sz w:val="24"/>
          <w:szCs w:val="24"/>
        </w:rPr>
        <w:t xml:space="preserve"> </w:t>
      </w:r>
      <w:r w:rsidR="008B7A0D" w:rsidRPr="00263BAD">
        <w:rPr>
          <w:rFonts w:ascii="Arial" w:hAnsi="Arial" w:cs="Arial"/>
          <w:sz w:val="24"/>
          <w:szCs w:val="24"/>
        </w:rPr>
        <w:t xml:space="preserve">Under Article 15(8)(a) of the Social Security (NI) 1998 </w:t>
      </w:r>
      <w:r w:rsidR="007B28BF" w:rsidRPr="00263BAD">
        <w:rPr>
          <w:rFonts w:ascii="Arial" w:hAnsi="Arial" w:cs="Arial"/>
          <w:sz w:val="24"/>
          <w:szCs w:val="24"/>
        </w:rPr>
        <w:t>I set aside</w:t>
      </w:r>
      <w:r w:rsidR="008B7A0D" w:rsidRPr="00263BAD">
        <w:rPr>
          <w:rFonts w:ascii="Arial" w:hAnsi="Arial" w:cs="Arial"/>
          <w:sz w:val="24"/>
          <w:szCs w:val="24"/>
        </w:rPr>
        <w:t xml:space="preserve"> the</w:t>
      </w:r>
      <w:r w:rsidR="007B28BF" w:rsidRPr="00263BAD">
        <w:rPr>
          <w:rFonts w:ascii="Arial" w:hAnsi="Arial" w:cs="Arial"/>
          <w:sz w:val="24"/>
          <w:szCs w:val="24"/>
        </w:rPr>
        <w:t xml:space="preserve"> decision </w:t>
      </w:r>
      <w:r w:rsidR="008B7A0D" w:rsidRPr="00263BAD">
        <w:rPr>
          <w:rFonts w:ascii="Arial" w:hAnsi="Arial" w:cs="Arial"/>
          <w:sz w:val="24"/>
          <w:szCs w:val="24"/>
        </w:rPr>
        <w:t xml:space="preserve">numbered BE/1714/20/02/D </w:t>
      </w:r>
      <w:r w:rsidR="007B28BF" w:rsidRPr="00263BAD">
        <w:rPr>
          <w:rFonts w:ascii="Arial" w:hAnsi="Arial" w:cs="Arial"/>
          <w:sz w:val="24"/>
          <w:szCs w:val="24"/>
        </w:rPr>
        <w:t>of the</w:t>
      </w:r>
      <w:r w:rsidR="002721C2" w:rsidRPr="00263BAD">
        <w:rPr>
          <w:rFonts w:ascii="Arial" w:hAnsi="Arial" w:cs="Arial"/>
          <w:sz w:val="24"/>
          <w:szCs w:val="24"/>
        </w:rPr>
        <w:t xml:space="preserve"> Appeal</w:t>
      </w:r>
      <w:r w:rsidR="007B28BF" w:rsidRPr="00263BAD">
        <w:rPr>
          <w:rFonts w:ascii="Arial" w:hAnsi="Arial" w:cs="Arial"/>
          <w:sz w:val="24"/>
          <w:szCs w:val="24"/>
        </w:rPr>
        <w:t xml:space="preserve"> Tribunal sitting at Belfast on 4 July 2022</w:t>
      </w:r>
      <w:r w:rsidR="00661807" w:rsidRPr="00263BAD">
        <w:rPr>
          <w:rFonts w:ascii="Arial" w:hAnsi="Arial" w:cs="Arial"/>
          <w:sz w:val="24"/>
          <w:szCs w:val="24"/>
        </w:rPr>
        <w:t xml:space="preserve"> </w:t>
      </w:r>
      <w:r w:rsidR="007B28BF" w:rsidRPr="00263BAD">
        <w:rPr>
          <w:rFonts w:ascii="Arial" w:hAnsi="Arial" w:cs="Arial"/>
          <w:sz w:val="24"/>
          <w:szCs w:val="24"/>
        </w:rPr>
        <w:t>as being in error of law</w:t>
      </w:r>
      <w:r w:rsidR="008B7A0D" w:rsidRPr="00263BAD">
        <w:rPr>
          <w:rFonts w:ascii="Arial" w:hAnsi="Arial" w:cs="Arial"/>
          <w:sz w:val="24"/>
          <w:szCs w:val="24"/>
        </w:rPr>
        <w:t xml:space="preserve">. </w:t>
      </w:r>
      <w:r w:rsidR="00B330D8">
        <w:rPr>
          <w:rFonts w:ascii="Arial" w:hAnsi="Arial" w:cs="Arial"/>
          <w:sz w:val="24"/>
          <w:szCs w:val="24"/>
        </w:rPr>
        <w:t xml:space="preserve"> </w:t>
      </w:r>
      <w:r w:rsidR="007B28BF" w:rsidRPr="00263BAD">
        <w:rPr>
          <w:rFonts w:ascii="Arial" w:hAnsi="Arial" w:cs="Arial"/>
          <w:sz w:val="24"/>
          <w:szCs w:val="24"/>
        </w:rPr>
        <w:t xml:space="preserve">I remit the matter back to a freshly constituted Tribunal </w:t>
      </w:r>
      <w:r w:rsidRPr="00263BAD">
        <w:rPr>
          <w:rFonts w:ascii="Arial" w:hAnsi="Arial" w:cs="Arial"/>
          <w:sz w:val="24"/>
          <w:szCs w:val="24"/>
        </w:rPr>
        <w:t>for rehearing</w:t>
      </w:r>
      <w:r w:rsidR="007B28BF" w:rsidRPr="00263BAD">
        <w:rPr>
          <w:rFonts w:ascii="Arial" w:hAnsi="Arial" w:cs="Arial"/>
          <w:sz w:val="24"/>
          <w:szCs w:val="24"/>
        </w:rPr>
        <w:t>.</w:t>
      </w:r>
    </w:p>
    <w:p w14:paraId="4F0E436D" w14:textId="77777777" w:rsidR="007B28BF" w:rsidRPr="00263BAD" w:rsidRDefault="007B28BF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3D98CB" w14:textId="77777777" w:rsidR="007B28BF" w:rsidRPr="00263BAD" w:rsidRDefault="007B28BF" w:rsidP="00B33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3BAD">
        <w:rPr>
          <w:rFonts w:ascii="Arial" w:hAnsi="Arial" w:cs="Arial"/>
          <w:b/>
          <w:sz w:val="24"/>
          <w:szCs w:val="24"/>
          <w:u w:val="single"/>
        </w:rPr>
        <w:t>REASONS</w:t>
      </w:r>
    </w:p>
    <w:p w14:paraId="3B04A6FA" w14:textId="77777777" w:rsidR="00B330D8" w:rsidRPr="00B330D8" w:rsidRDefault="00B330D8" w:rsidP="00AD09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1B88AC" w14:textId="3C868EED" w:rsidR="007B28BF" w:rsidRPr="00263BAD" w:rsidRDefault="00B330D8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330D8">
        <w:rPr>
          <w:rFonts w:ascii="Arial" w:hAnsi="Arial" w:cs="Arial"/>
          <w:b/>
          <w:sz w:val="24"/>
          <w:szCs w:val="24"/>
        </w:rPr>
        <w:tab/>
      </w:r>
      <w:r w:rsidR="007B28BF" w:rsidRPr="00263BAD">
        <w:rPr>
          <w:rFonts w:ascii="Arial" w:hAnsi="Arial" w:cs="Arial"/>
          <w:b/>
          <w:sz w:val="24"/>
          <w:szCs w:val="24"/>
          <w:u w:val="single"/>
        </w:rPr>
        <w:t>Background</w:t>
      </w:r>
    </w:p>
    <w:p w14:paraId="20DAA76F" w14:textId="77777777" w:rsidR="007B28BF" w:rsidRPr="00263BAD" w:rsidRDefault="007B28BF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F733D9" w14:textId="0E49A0F1" w:rsidR="00B01420" w:rsidRPr="00263BAD" w:rsidRDefault="00B330D8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ab/>
      </w:r>
      <w:r w:rsidR="007B28BF" w:rsidRPr="00263BAD">
        <w:rPr>
          <w:rFonts w:ascii="Arial" w:eastAsia="Calibri" w:hAnsi="Arial" w:cs="Arial"/>
          <w:sz w:val="24"/>
          <w:szCs w:val="24"/>
        </w:rPr>
        <w:t>The appeal below concerned entitlement to a Personal Independence Allowance under the Regulations (Northern Ireland) 20</w:t>
      </w:r>
      <w:r w:rsidR="00B01420" w:rsidRPr="00263BAD">
        <w:rPr>
          <w:rFonts w:ascii="Arial" w:eastAsia="Calibri" w:hAnsi="Arial" w:cs="Arial"/>
          <w:sz w:val="24"/>
          <w:szCs w:val="24"/>
        </w:rPr>
        <w:t>16</w:t>
      </w:r>
      <w:r w:rsidR="007B28BF" w:rsidRPr="00263BAD">
        <w:rPr>
          <w:rFonts w:ascii="Arial" w:eastAsia="Calibri" w:hAnsi="Arial" w:cs="Arial"/>
          <w:sz w:val="24"/>
          <w:szCs w:val="24"/>
        </w:rPr>
        <w:t xml:space="preserve"> (hereafter “the PIP Regulations”)</w:t>
      </w:r>
      <w:r w:rsidR="002B7D4B" w:rsidRPr="00263BA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B28BF" w:rsidRPr="00263BAD">
        <w:rPr>
          <w:rFonts w:ascii="Arial" w:eastAsia="Calibri" w:hAnsi="Arial" w:cs="Arial"/>
          <w:sz w:val="24"/>
          <w:szCs w:val="24"/>
        </w:rPr>
        <w:t xml:space="preserve">The decision under appeal was made on </w:t>
      </w:r>
      <w:r w:rsidR="007470EE" w:rsidRPr="00263BAD">
        <w:rPr>
          <w:rFonts w:ascii="Arial" w:eastAsia="Calibri" w:hAnsi="Arial" w:cs="Arial"/>
          <w:sz w:val="24"/>
          <w:szCs w:val="24"/>
        </w:rPr>
        <w:t>20 January 2020</w:t>
      </w:r>
      <w:r w:rsidR="007B28BF" w:rsidRPr="00263BAD">
        <w:rPr>
          <w:rFonts w:ascii="Arial" w:eastAsia="Calibri" w:hAnsi="Arial" w:cs="Arial"/>
          <w:sz w:val="24"/>
          <w:szCs w:val="24"/>
        </w:rPr>
        <w:t xml:space="preserve"> in respect of a</w:t>
      </w:r>
      <w:r w:rsidR="007470EE" w:rsidRPr="00263BAD">
        <w:rPr>
          <w:rFonts w:ascii="Arial" w:eastAsia="Calibri" w:hAnsi="Arial" w:cs="Arial"/>
          <w:sz w:val="24"/>
          <w:szCs w:val="24"/>
        </w:rPr>
        <w:t xml:space="preserve"> renewal</w:t>
      </w:r>
      <w:r w:rsidR="007B28BF" w:rsidRPr="00263BAD">
        <w:rPr>
          <w:rFonts w:ascii="Arial" w:eastAsia="Calibri" w:hAnsi="Arial" w:cs="Arial"/>
          <w:sz w:val="24"/>
          <w:szCs w:val="24"/>
        </w:rPr>
        <w:t xml:space="preserve"> application for</w:t>
      </w:r>
      <w:r w:rsidR="00DD52DC" w:rsidRPr="00263BAD">
        <w:rPr>
          <w:rFonts w:ascii="Arial" w:eastAsia="Calibri" w:hAnsi="Arial" w:cs="Arial"/>
          <w:sz w:val="24"/>
          <w:szCs w:val="24"/>
        </w:rPr>
        <w:t xml:space="preserve"> his</w:t>
      </w:r>
      <w:r w:rsidR="007B28BF" w:rsidRPr="00263BAD">
        <w:rPr>
          <w:rFonts w:ascii="Arial" w:eastAsia="Calibri" w:hAnsi="Arial" w:cs="Arial"/>
          <w:sz w:val="24"/>
          <w:szCs w:val="24"/>
        </w:rPr>
        <w:t xml:space="preserve"> PIP </w:t>
      </w:r>
      <w:r w:rsidR="00DD52DC" w:rsidRPr="00263BAD">
        <w:rPr>
          <w:rFonts w:ascii="Arial" w:eastAsia="Calibri" w:hAnsi="Arial" w:cs="Arial"/>
          <w:sz w:val="24"/>
          <w:szCs w:val="24"/>
        </w:rPr>
        <w:t>award</w:t>
      </w:r>
      <w:r w:rsidR="00405F2A" w:rsidRPr="00263BA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D52DC" w:rsidRPr="00263BAD">
        <w:rPr>
          <w:rFonts w:ascii="Arial" w:eastAsia="Calibri" w:hAnsi="Arial" w:cs="Arial"/>
          <w:sz w:val="24"/>
          <w:szCs w:val="24"/>
        </w:rPr>
        <w:t xml:space="preserve">This had been in payment from </w:t>
      </w:r>
      <w:r w:rsidR="001235E9" w:rsidRPr="00263BAD">
        <w:rPr>
          <w:rFonts w:ascii="Arial" w:eastAsia="Calibri" w:hAnsi="Arial" w:cs="Arial"/>
          <w:sz w:val="24"/>
          <w:szCs w:val="24"/>
        </w:rPr>
        <w:t>8 February 2017 at the enhanced rate of the daily living award only.</w:t>
      </w:r>
    </w:p>
    <w:p w14:paraId="7F5602F8" w14:textId="39AFF06E" w:rsidR="007B28BF" w:rsidRPr="00263BAD" w:rsidRDefault="007B28BF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7A68F84C" w14:textId="4D4CE71D" w:rsidR="007B28BF" w:rsidRPr="00263BAD" w:rsidRDefault="00B330D8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ab/>
      </w:r>
      <w:r w:rsidR="007B28BF" w:rsidRPr="00263BAD">
        <w:rPr>
          <w:rFonts w:ascii="Arial" w:eastAsia="Calibri" w:hAnsi="Arial" w:cs="Arial"/>
          <w:sz w:val="24"/>
          <w:szCs w:val="24"/>
        </w:rPr>
        <w:t>The decision of the</w:t>
      </w:r>
      <w:r w:rsidR="007B28BF" w:rsidRPr="00263BAD">
        <w:rPr>
          <w:rFonts w:ascii="Arial" w:hAnsi="Arial" w:cs="Arial"/>
          <w:sz w:val="24"/>
          <w:szCs w:val="24"/>
        </w:rPr>
        <w:t xml:space="preserve"> </w:t>
      </w:r>
      <w:r w:rsidR="007B28BF" w:rsidRPr="00263BAD">
        <w:rPr>
          <w:rFonts w:ascii="Arial" w:eastAsia="Calibri" w:hAnsi="Arial" w:cs="Arial"/>
          <w:sz w:val="24"/>
          <w:szCs w:val="24"/>
        </w:rPr>
        <w:t>Department of Communities (the Department) was</w:t>
      </w:r>
      <w:r w:rsidR="00ED5777" w:rsidRPr="00263BAD">
        <w:rPr>
          <w:rFonts w:ascii="Arial" w:eastAsia="Calibri" w:hAnsi="Arial" w:cs="Arial"/>
          <w:sz w:val="24"/>
          <w:szCs w:val="24"/>
        </w:rPr>
        <w:t xml:space="preserve"> that no award was merite</w:t>
      </w:r>
      <w:r w:rsidR="00F41BAB" w:rsidRPr="00263BAD">
        <w:rPr>
          <w:rFonts w:ascii="Arial" w:eastAsia="Calibri" w:hAnsi="Arial" w:cs="Arial"/>
          <w:sz w:val="24"/>
          <w:szCs w:val="24"/>
        </w:rPr>
        <w:t>d from the date of its decision.</w:t>
      </w:r>
    </w:p>
    <w:p w14:paraId="30F2E294" w14:textId="77777777" w:rsidR="00B01420" w:rsidRPr="00263BAD" w:rsidRDefault="00B01420" w:rsidP="0049259F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281A5D5B" w14:textId="2ECC5C2B" w:rsidR="007B28BF" w:rsidRPr="00263BAD" w:rsidRDefault="00B330D8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>
        <w:rPr>
          <w:rFonts w:ascii="Arial" w:eastAsia="Calibri" w:hAnsi="Arial" w:cs="Arial"/>
          <w:sz w:val="24"/>
          <w:szCs w:val="24"/>
        </w:rPr>
        <w:tab/>
      </w:r>
      <w:r w:rsidR="00180A4B" w:rsidRPr="00263BAD">
        <w:rPr>
          <w:rFonts w:ascii="Arial" w:eastAsia="Calibri" w:hAnsi="Arial" w:cs="Arial"/>
          <w:sz w:val="24"/>
          <w:szCs w:val="24"/>
        </w:rPr>
        <w:t>The Tribunal held an oral hearing at the appellant’s request.  He attended with his wife, and his representative at that hearing was Ms</w:t>
      </w:r>
      <w:r w:rsidR="00A611DD" w:rsidRPr="00263BAD">
        <w:rPr>
          <w:rFonts w:ascii="Arial" w:eastAsia="Calibri" w:hAnsi="Arial" w:cs="Arial"/>
          <w:sz w:val="24"/>
          <w:szCs w:val="24"/>
        </w:rPr>
        <w:t xml:space="preserve"> Corr</w:t>
      </w:r>
      <w:r w:rsidR="006B5135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A611DD" w:rsidRPr="00263BAD">
        <w:rPr>
          <w:rFonts w:ascii="Arial" w:eastAsia="Calibri" w:hAnsi="Arial" w:cs="Arial"/>
          <w:sz w:val="24"/>
          <w:szCs w:val="24"/>
        </w:rPr>
        <w:t xml:space="preserve">of the </w:t>
      </w:r>
      <w:r w:rsidR="00F304DC" w:rsidRPr="00263BAD">
        <w:rPr>
          <w:rFonts w:ascii="Arial" w:eastAsia="Calibri" w:hAnsi="Arial" w:cs="Arial"/>
          <w:sz w:val="24"/>
          <w:szCs w:val="24"/>
        </w:rPr>
        <w:t>Law Centre NI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.  The </w:t>
      </w:r>
      <w:r w:rsidR="005D135A" w:rsidRPr="00263BAD">
        <w:rPr>
          <w:rFonts w:ascii="Arial" w:eastAsia="Calibri" w:hAnsi="Arial" w:cs="Arial"/>
          <w:sz w:val="24"/>
          <w:szCs w:val="24"/>
        </w:rPr>
        <w:t>T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ribunal dismissed the appeal, </w:t>
      </w:r>
      <w:r w:rsidR="000D514D" w:rsidRPr="00263BAD">
        <w:rPr>
          <w:rFonts w:ascii="Arial" w:eastAsia="Calibri" w:hAnsi="Arial" w:cs="Arial"/>
          <w:sz w:val="24"/>
          <w:szCs w:val="24"/>
        </w:rPr>
        <w:t>explaining its reasons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 in a decision that was set out in writing some months later, following which an application for leave to appeal was lodged.</w:t>
      </w:r>
    </w:p>
    <w:p w14:paraId="081EA15B" w14:textId="77777777" w:rsidR="00B01420" w:rsidRPr="00263BAD" w:rsidRDefault="00B01420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4EA68AD2" w14:textId="712C172C" w:rsidR="00180A4B" w:rsidRPr="00263BAD" w:rsidRDefault="00B330D8" w:rsidP="0049259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ab/>
      </w:r>
      <w:r w:rsidR="004227D2" w:rsidRPr="00263BAD">
        <w:rPr>
          <w:rFonts w:ascii="Arial" w:hAnsi="Arial" w:cs="Arial"/>
          <w:bCs/>
          <w:sz w:val="24"/>
          <w:szCs w:val="24"/>
        </w:rPr>
        <w:t xml:space="preserve">Leave </w:t>
      </w:r>
      <w:r w:rsidR="007B28BF" w:rsidRPr="00263BAD">
        <w:rPr>
          <w:rFonts w:ascii="Arial" w:hAnsi="Arial" w:cs="Arial"/>
          <w:bCs/>
          <w:sz w:val="24"/>
          <w:szCs w:val="24"/>
        </w:rPr>
        <w:t xml:space="preserve">was granted by the Legal Member, </w:t>
      </w:r>
      <w:r w:rsidR="00180A4B" w:rsidRPr="00263BAD">
        <w:rPr>
          <w:rFonts w:ascii="Arial" w:hAnsi="Arial" w:cs="Arial"/>
          <w:bCs/>
          <w:sz w:val="24"/>
          <w:szCs w:val="24"/>
        </w:rPr>
        <w:t xml:space="preserve">and the matter comes </w:t>
      </w:r>
      <w:r w:rsidR="001E6BE8" w:rsidRPr="00263BAD">
        <w:rPr>
          <w:rFonts w:ascii="Arial" w:hAnsi="Arial" w:cs="Arial"/>
          <w:bCs/>
          <w:sz w:val="24"/>
          <w:szCs w:val="24"/>
        </w:rPr>
        <w:t>be</w:t>
      </w:r>
      <w:r w:rsidR="00180A4B" w:rsidRPr="00263BAD">
        <w:rPr>
          <w:rFonts w:ascii="Arial" w:hAnsi="Arial" w:cs="Arial"/>
          <w:bCs/>
          <w:sz w:val="24"/>
          <w:szCs w:val="24"/>
        </w:rPr>
        <w:t>fore me as an appeal.</w:t>
      </w:r>
    </w:p>
    <w:p w14:paraId="43E51CC5" w14:textId="77777777" w:rsidR="004227D2" w:rsidRPr="00263BAD" w:rsidRDefault="004227D2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858B4C" w14:textId="632D5786" w:rsidR="004227D2" w:rsidRPr="00263BAD" w:rsidRDefault="00157157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227D2" w:rsidRPr="00263BAD">
        <w:rPr>
          <w:rFonts w:ascii="Arial" w:hAnsi="Arial" w:cs="Arial"/>
          <w:b/>
          <w:sz w:val="24"/>
          <w:szCs w:val="24"/>
        </w:rPr>
        <w:t>The position of the parties before me</w:t>
      </w:r>
    </w:p>
    <w:p w14:paraId="18DA8942" w14:textId="77777777" w:rsidR="004227D2" w:rsidRPr="00263BAD" w:rsidRDefault="004227D2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B622591" w14:textId="11BA78F0" w:rsidR="007B28BF" w:rsidRPr="00263BAD" w:rsidRDefault="00157157" w:rsidP="00DE12DE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</w:t>
      </w:r>
      <w:r>
        <w:rPr>
          <w:rFonts w:ascii="Arial" w:eastAsia="Calibri" w:hAnsi="Arial" w:cs="Arial"/>
          <w:sz w:val="24"/>
          <w:szCs w:val="24"/>
        </w:rPr>
        <w:tab/>
      </w:r>
      <w:r w:rsidR="00180A4B" w:rsidRPr="00263BAD">
        <w:rPr>
          <w:rFonts w:ascii="Arial" w:eastAsia="Calibri" w:hAnsi="Arial" w:cs="Arial"/>
          <w:sz w:val="24"/>
          <w:szCs w:val="24"/>
        </w:rPr>
        <w:t>Mr McCloskey</w:t>
      </w:r>
      <w:r w:rsidR="003A6585" w:rsidRPr="00263BAD">
        <w:rPr>
          <w:rFonts w:ascii="Arial" w:eastAsia="Calibri" w:hAnsi="Arial" w:cs="Arial"/>
          <w:sz w:val="24"/>
          <w:szCs w:val="24"/>
        </w:rPr>
        <w:t xml:space="preserve">, </w:t>
      </w:r>
      <w:r w:rsidR="00CA2FE4" w:rsidRPr="00263BAD">
        <w:rPr>
          <w:rFonts w:ascii="Arial" w:eastAsia="Calibri" w:hAnsi="Arial" w:cs="Arial"/>
          <w:sz w:val="24"/>
          <w:szCs w:val="24"/>
        </w:rPr>
        <w:t>also of the Law Centre</w:t>
      </w:r>
      <w:r w:rsidR="006B5135" w:rsidRPr="00263BAD">
        <w:rPr>
          <w:rFonts w:ascii="Arial" w:eastAsia="Calibri" w:hAnsi="Arial" w:cs="Arial"/>
          <w:sz w:val="24"/>
          <w:szCs w:val="24"/>
        </w:rPr>
        <w:t xml:space="preserve">, </w:t>
      </w:r>
      <w:r w:rsidR="003A6585" w:rsidRPr="00263BAD">
        <w:rPr>
          <w:rFonts w:ascii="Arial" w:eastAsia="Calibri" w:hAnsi="Arial" w:cs="Arial"/>
          <w:sz w:val="24"/>
          <w:szCs w:val="24"/>
        </w:rPr>
        <w:t>acts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 for the appellant</w:t>
      </w:r>
      <w:r w:rsidR="003A6585" w:rsidRPr="00263BAD">
        <w:rPr>
          <w:rFonts w:ascii="Arial" w:eastAsia="Calibri" w:hAnsi="Arial" w:cs="Arial"/>
          <w:sz w:val="24"/>
          <w:szCs w:val="24"/>
        </w:rPr>
        <w:t>.  He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 argues that there was a fundamental mistake of fact that, in effect, tainted the decision of the Tribunal</w:t>
      </w:r>
      <w:r w:rsidR="002B7D4B" w:rsidRPr="00263BA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It was </w:t>
      </w:r>
      <w:r w:rsidR="004D449F" w:rsidRPr="00263BAD">
        <w:rPr>
          <w:rFonts w:ascii="Arial" w:eastAsia="Calibri" w:hAnsi="Arial" w:cs="Arial"/>
          <w:sz w:val="24"/>
          <w:szCs w:val="24"/>
        </w:rPr>
        <w:t xml:space="preserve">found </w:t>
      </w:r>
      <w:r w:rsidR="00180A4B" w:rsidRPr="00263BAD">
        <w:rPr>
          <w:rFonts w:ascii="Arial" w:eastAsia="Calibri" w:hAnsi="Arial" w:cs="Arial"/>
          <w:sz w:val="24"/>
          <w:szCs w:val="24"/>
        </w:rPr>
        <w:t xml:space="preserve">that, at the material time, the appellant’s wife was working for 50 hours a week.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44B9E" w:rsidRPr="00263BAD">
        <w:rPr>
          <w:rFonts w:ascii="Arial" w:eastAsia="Calibri" w:hAnsi="Arial" w:cs="Arial"/>
          <w:sz w:val="24"/>
          <w:szCs w:val="24"/>
        </w:rPr>
        <w:t xml:space="preserve">The materiality of the </w:t>
      </w:r>
      <w:r w:rsidR="00AA3EC9" w:rsidRPr="00263BAD">
        <w:rPr>
          <w:rFonts w:ascii="Arial" w:eastAsia="Calibri" w:hAnsi="Arial" w:cs="Arial"/>
          <w:sz w:val="24"/>
          <w:szCs w:val="24"/>
        </w:rPr>
        <w:t>finding</w:t>
      </w:r>
      <w:r w:rsidR="00544B9E" w:rsidRPr="00263BAD">
        <w:rPr>
          <w:rFonts w:ascii="Arial" w:eastAsia="Calibri" w:hAnsi="Arial" w:cs="Arial"/>
          <w:sz w:val="24"/>
          <w:szCs w:val="24"/>
        </w:rPr>
        <w:t xml:space="preserve"> is that </w:t>
      </w:r>
      <w:r w:rsidR="007E4D22" w:rsidRPr="00263BAD">
        <w:rPr>
          <w:rFonts w:ascii="Arial" w:eastAsia="Calibri" w:hAnsi="Arial" w:cs="Arial"/>
          <w:sz w:val="24"/>
          <w:szCs w:val="24"/>
        </w:rPr>
        <w:t xml:space="preserve">it </w:t>
      </w:r>
      <w:r w:rsidR="00CB5804" w:rsidRPr="00263BAD">
        <w:rPr>
          <w:rFonts w:ascii="Arial" w:eastAsia="Calibri" w:hAnsi="Arial" w:cs="Arial"/>
          <w:sz w:val="24"/>
          <w:szCs w:val="24"/>
        </w:rPr>
        <w:t>was the</w:t>
      </w:r>
      <w:r w:rsidR="007E4D22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232DCC" w:rsidRPr="00263BAD">
        <w:rPr>
          <w:rFonts w:ascii="Arial" w:eastAsia="Calibri" w:hAnsi="Arial" w:cs="Arial"/>
          <w:sz w:val="24"/>
          <w:szCs w:val="24"/>
        </w:rPr>
        <w:t>foundation</w:t>
      </w:r>
      <w:r w:rsidR="00CB5804" w:rsidRPr="00263BAD">
        <w:rPr>
          <w:rFonts w:ascii="Arial" w:eastAsia="Calibri" w:hAnsi="Arial" w:cs="Arial"/>
          <w:sz w:val="24"/>
          <w:szCs w:val="24"/>
        </w:rPr>
        <w:t xml:space="preserve"> of the</w:t>
      </w:r>
      <w:r w:rsidR="00544B9E" w:rsidRPr="00263BAD">
        <w:rPr>
          <w:rFonts w:ascii="Arial" w:eastAsia="Calibri" w:hAnsi="Arial" w:cs="Arial"/>
          <w:sz w:val="24"/>
          <w:szCs w:val="24"/>
        </w:rPr>
        <w:t xml:space="preserve"> Tribunal </w:t>
      </w:r>
      <w:r w:rsidR="00CB5804" w:rsidRPr="00263BAD">
        <w:rPr>
          <w:rFonts w:ascii="Arial" w:eastAsia="Calibri" w:hAnsi="Arial" w:cs="Arial"/>
          <w:sz w:val="24"/>
          <w:szCs w:val="24"/>
        </w:rPr>
        <w:t>doubting the appellant’</w:t>
      </w:r>
      <w:r w:rsidR="00052552" w:rsidRPr="00263BAD">
        <w:rPr>
          <w:rFonts w:ascii="Arial" w:eastAsia="Calibri" w:hAnsi="Arial" w:cs="Arial"/>
          <w:sz w:val="24"/>
          <w:szCs w:val="24"/>
        </w:rPr>
        <w:t>s evidence, as</w:t>
      </w:r>
      <w:r w:rsidR="00E20EB4" w:rsidRPr="00263BAD">
        <w:rPr>
          <w:rFonts w:ascii="Arial" w:eastAsia="Calibri" w:hAnsi="Arial" w:cs="Arial"/>
          <w:sz w:val="24"/>
          <w:szCs w:val="24"/>
        </w:rPr>
        <w:t xml:space="preserve"> the level of </w:t>
      </w:r>
      <w:r w:rsidR="00052CD2" w:rsidRPr="00263BAD">
        <w:rPr>
          <w:rFonts w:ascii="Arial" w:eastAsia="Calibri" w:hAnsi="Arial" w:cs="Arial"/>
          <w:sz w:val="24"/>
          <w:szCs w:val="24"/>
        </w:rPr>
        <w:t>assistance</w:t>
      </w:r>
      <w:r w:rsidR="00E20EB4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126B89" w:rsidRPr="00263BAD">
        <w:rPr>
          <w:rFonts w:ascii="Arial" w:eastAsia="Calibri" w:hAnsi="Arial" w:cs="Arial"/>
          <w:sz w:val="24"/>
          <w:szCs w:val="24"/>
        </w:rPr>
        <w:t xml:space="preserve">he said </w:t>
      </w:r>
      <w:r w:rsidR="00E20EB4" w:rsidRPr="00263BAD">
        <w:rPr>
          <w:rFonts w:ascii="Arial" w:eastAsia="Calibri" w:hAnsi="Arial" w:cs="Arial"/>
          <w:sz w:val="24"/>
          <w:szCs w:val="24"/>
        </w:rPr>
        <w:t xml:space="preserve">she gave him </w:t>
      </w:r>
      <w:r w:rsidR="00126B89" w:rsidRPr="00263BAD">
        <w:rPr>
          <w:rFonts w:ascii="Arial" w:eastAsia="Calibri" w:hAnsi="Arial" w:cs="Arial"/>
          <w:sz w:val="24"/>
          <w:szCs w:val="24"/>
        </w:rPr>
        <w:t xml:space="preserve">was </w:t>
      </w:r>
      <w:r w:rsidR="00E20EB4" w:rsidRPr="00263BAD">
        <w:rPr>
          <w:rFonts w:ascii="Arial" w:eastAsia="Calibri" w:hAnsi="Arial" w:cs="Arial"/>
          <w:sz w:val="24"/>
          <w:szCs w:val="24"/>
        </w:rPr>
        <w:t xml:space="preserve">unlikely given her </w:t>
      </w:r>
      <w:r w:rsidR="00052CD2" w:rsidRPr="00263BAD">
        <w:rPr>
          <w:rFonts w:ascii="Arial" w:eastAsia="Calibri" w:hAnsi="Arial" w:cs="Arial"/>
          <w:sz w:val="24"/>
          <w:szCs w:val="24"/>
        </w:rPr>
        <w:t>being out at work for so much of the week</w:t>
      </w:r>
      <w:r w:rsidR="002B7D4B" w:rsidRPr="00263BAD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B7D4B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126B89" w:rsidRPr="00263BAD">
        <w:rPr>
          <w:rFonts w:ascii="Arial" w:eastAsia="Calibri" w:hAnsi="Arial" w:cs="Arial"/>
          <w:sz w:val="24"/>
          <w:szCs w:val="24"/>
        </w:rPr>
        <w:t>W</w:t>
      </w:r>
      <w:r w:rsidR="003D7422" w:rsidRPr="00263BAD">
        <w:rPr>
          <w:rFonts w:ascii="Arial" w:eastAsia="Calibri" w:hAnsi="Arial" w:cs="Arial"/>
          <w:sz w:val="24"/>
          <w:szCs w:val="24"/>
        </w:rPr>
        <w:t xml:space="preserve">ith </w:t>
      </w:r>
      <w:r w:rsidR="00891A2C" w:rsidRPr="00263BAD">
        <w:rPr>
          <w:rFonts w:ascii="Arial" w:eastAsia="Calibri" w:hAnsi="Arial" w:cs="Arial"/>
          <w:sz w:val="24"/>
          <w:szCs w:val="24"/>
        </w:rPr>
        <w:t>his</w:t>
      </w:r>
      <w:r w:rsidR="003D7422" w:rsidRPr="00263BAD">
        <w:rPr>
          <w:rFonts w:ascii="Arial" w:eastAsia="Calibri" w:hAnsi="Arial" w:cs="Arial"/>
          <w:sz w:val="24"/>
          <w:szCs w:val="24"/>
        </w:rPr>
        <w:t xml:space="preserve"> application for leave, </w:t>
      </w:r>
      <w:r w:rsidR="00126B89" w:rsidRPr="00263BAD">
        <w:rPr>
          <w:rFonts w:ascii="Arial" w:eastAsia="Calibri" w:hAnsi="Arial" w:cs="Arial"/>
          <w:sz w:val="24"/>
          <w:szCs w:val="24"/>
        </w:rPr>
        <w:t>the appellant provide</w:t>
      </w:r>
      <w:r w:rsidR="005014B6" w:rsidRPr="00263BAD">
        <w:rPr>
          <w:rFonts w:ascii="Arial" w:eastAsia="Calibri" w:hAnsi="Arial" w:cs="Arial"/>
          <w:sz w:val="24"/>
          <w:szCs w:val="24"/>
        </w:rPr>
        <w:t xml:space="preserve">d </w:t>
      </w:r>
      <w:r w:rsidR="003D7422" w:rsidRPr="00263BAD">
        <w:rPr>
          <w:rFonts w:ascii="Arial" w:eastAsia="Calibri" w:hAnsi="Arial" w:cs="Arial"/>
          <w:sz w:val="24"/>
          <w:szCs w:val="24"/>
        </w:rPr>
        <w:t>evidence</w:t>
      </w:r>
      <w:r w:rsidR="000441BD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066516" w:rsidRPr="00263BAD">
        <w:rPr>
          <w:rFonts w:ascii="Arial" w:eastAsia="Calibri" w:hAnsi="Arial" w:cs="Arial"/>
          <w:sz w:val="24"/>
          <w:szCs w:val="24"/>
        </w:rPr>
        <w:t xml:space="preserve">of her taxable income </w:t>
      </w:r>
      <w:r w:rsidR="005014B6" w:rsidRPr="00263BAD">
        <w:rPr>
          <w:rFonts w:ascii="Arial" w:eastAsia="Calibri" w:hAnsi="Arial" w:cs="Arial"/>
          <w:sz w:val="24"/>
          <w:szCs w:val="24"/>
        </w:rPr>
        <w:t xml:space="preserve">which </w:t>
      </w:r>
      <w:r w:rsidR="001B2D99" w:rsidRPr="00263BAD">
        <w:rPr>
          <w:rFonts w:ascii="Arial" w:eastAsia="Calibri" w:hAnsi="Arial" w:cs="Arial"/>
          <w:sz w:val="24"/>
          <w:szCs w:val="24"/>
        </w:rPr>
        <w:t xml:space="preserve">showed that </w:t>
      </w:r>
      <w:r w:rsidR="00066516" w:rsidRPr="00263BAD">
        <w:rPr>
          <w:rFonts w:ascii="Arial" w:eastAsia="Calibri" w:hAnsi="Arial" w:cs="Arial"/>
          <w:sz w:val="24"/>
          <w:szCs w:val="24"/>
        </w:rPr>
        <w:t xml:space="preserve">her working for </w:t>
      </w:r>
      <w:r w:rsidR="00342372" w:rsidRPr="00263BAD">
        <w:rPr>
          <w:rFonts w:ascii="Arial" w:eastAsia="Calibri" w:hAnsi="Arial" w:cs="Arial"/>
          <w:sz w:val="24"/>
          <w:szCs w:val="24"/>
        </w:rPr>
        <w:t>so many hours</w:t>
      </w:r>
      <w:r w:rsidR="001B2D99" w:rsidRPr="00263BAD">
        <w:rPr>
          <w:rFonts w:ascii="Arial" w:eastAsia="Calibri" w:hAnsi="Arial" w:cs="Arial"/>
          <w:sz w:val="24"/>
          <w:szCs w:val="24"/>
        </w:rPr>
        <w:t xml:space="preserve"> was</w:t>
      </w:r>
      <w:r w:rsidR="00342372" w:rsidRPr="00263BAD">
        <w:rPr>
          <w:rFonts w:ascii="Arial" w:eastAsia="Calibri" w:hAnsi="Arial" w:cs="Arial"/>
          <w:sz w:val="24"/>
          <w:szCs w:val="24"/>
        </w:rPr>
        <w:t xml:space="preserve"> unlikely, and leave was granted</w:t>
      </w:r>
      <w:r w:rsidR="00F172BF" w:rsidRPr="00263BAD">
        <w:rPr>
          <w:rFonts w:ascii="Arial" w:eastAsia="Calibri" w:hAnsi="Arial" w:cs="Arial"/>
          <w:sz w:val="24"/>
          <w:szCs w:val="24"/>
        </w:rPr>
        <w:t xml:space="preserve"> by the legal member of the Tribunal that had made the finding</w:t>
      </w:r>
      <w:r w:rsidR="00342372" w:rsidRPr="00263BAD">
        <w:rPr>
          <w:rFonts w:ascii="Arial" w:eastAsia="Calibri" w:hAnsi="Arial" w:cs="Arial"/>
          <w:sz w:val="24"/>
          <w:szCs w:val="24"/>
        </w:rPr>
        <w:t>.</w:t>
      </w:r>
    </w:p>
    <w:p w14:paraId="78EFA141" w14:textId="77777777" w:rsidR="00B01420" w:rsidRPr="00263BAD" w:rsidRDefault="00B01420" w:rsidP="00DE12DE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0E6E1BD8" w14:textId="36D20297" w:rsidR="00146681" w:rsidRPr="00263BAD" w:rsidRDefault="00DE12DE" w:rsidP="00DE12DE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>
        <w:rPr>
          <w:rFonts w:ascii="Arial" w:hAnsi="Arial" w:cs="Arial"/>
          <w:bCs/>
          <w:sz w:val="24"/>
          <w:szCs w:val="24"/>
        </w:rPr>
        <w:tab/>
      </w:r>
      <w:r w:rsidR="00F172BF" w:rsidRPr="00263BAD">
        <w:rPr>
          <w:rFonts w:ascii="Arial" w:hAnsi="Arial" w:cs="Arial"/>
          <w:bCs/>
          <w:sz w:val="24"/>
          <w:szCs w:val="24"/>
        </w:rPr>
        <w:t xml:space="preserve">The </w:t>
      </w:r>
      <w:r w:rsidR="00667CFA" w:rsidRPr="00263BAD">
        <w:rPr>
          <w:rFonts w:ascii="Arial" w:hAnsi="Arial" w:cs="Arial"/>
          <w:bCs/>
          <w:sz w:val="24"/>
          <w:szCs w:val="24"/>
        </w:rPr>
        <w:t xml:space="preserve">appellant’s </w:t>
      </w:r>
      <w:r w:rsidR="001E6BE8" w:rsidRPr="00263BAD">
        <w:rPr>
          <w:rFonts w:ascii="Arial" w:hAnsi="Arial" w:cs="Arial"/>
          <w:bCs/>
          <w:sz w:val="24"/>
          <w:szCs w:val="24"/>
        </w:rPr>
        <w:t xml:space="preserve">central argument </w:t>
      </w:r>
      <w:r>
        <w:rPr>
          <w:rFonts w:ascii="Arial" w:hAnsi="Arial" w:cs="Arial"/>
          <w:bCs/>
          <w:sz w:val="24"/>
          <w:szCs w:val="24"/>
        </w:rPr>
        <w:t>s</w:t>
      </w:r>
      <w:r w:rsidR="001E6BE8" w:rsidRPr="00263BAD">
        <w:rPr>
          <w:rFonts w:ascii="Arial" w:hAnsi="Arial" w:cs="Arial"/>
          <w:bCs/>
          <w:sz w:val="24"/>
          <w:szCs w:val="24"/>
        </w:rPr>
        <w:t>is supported by the Department, in a helpful submission from Mr Clements</w:t>
      </w:r>
      <w:r w:rsidR="0086152F" w:rsidRPr="00263BAD">
        <w:rPr>
          <w:rFonts w:ascii="Arial" w:hAnsi="Arial" w:cs="Arial"/>
          <w:bCs/>
          <w:sz w:val="24"/>
          <w:szCs w:val="24"/>
        </w:rPr>
        <w:t>, who</w:t>
      </w:r>
      <w:r w:rsidR="001B2D99" w:rsidRPr="00263BAD">
        <w:rPr>
          <w:rFonts w:ascii="Arial" w:hAnsi="Arial" w:cs="Arial"/>
          <w:bCs/>
          <w:sz w:val="24"/>
          <w:szCs w:val="24"/>
        </w:rPr>
        <w:t xml:space="preserve"> formally</w:t>
      </w:r>
      <w:r w:rsidR="008523FA" w:rsidRPr="00263BAD">
        <w:rPr>
          <w:rFonts w:ascii="Arial" w:hAnsi="Arial" w:cs="Arial"/>
          <w:bCs/>
          <w:sz w:val="24"/>
          <w:szCs w:val="24"/>
        </w:rPr>
        <w:t xml:space="preserve"> </w:t>
      </w:r>
      <w:r w:rsidR="0086152F" w:rsidRPr="00263BAD">
        <w:rPr>
          <w:rFonts w:ascii="Arial" w:hAnsi="Arial" w:cs="Arial"/>
          <w:bCs/>
          <w:sz w:val="24"/>
          <w:szCs w:val="24"/>
        </w:rPr>
        <w:t>agrees that the appellant’s wife was</w:t>
      </w:r>
      <w:r w:rsidR="008523FA" w:rsidRPr="00263BAD">
        <w:rPr>
          <w:rFonts w:ascii="Arial" w:eastAsia="Calibri" w:hAnsi="Arial" w:cs="Arial"/>
          <w:sz w:val="24"/>
          <w:szCs w:val="24"/>
        </w:rPr>
        <w:t xml:space="preserve"> working </w:t>
      </w:r>
      <w:r w:rsidR="001B2D99" w:rsidRPr="00263BAD">
        <w:rPr>
          <w:rFonts w:ascii="Arial" w:eastAsia="Calibri" w:hAnsi="Arial" w:cs="Arial"/>
          <w:sz w:val="24"/>
          <w:szCs w:val="24"/>
        </w:rPr>
        <w:t xml:space="preserve">for </w:t>
      </w:r>
      <w:r w:rsidR="008523FA" w:rsidRPr="00263BAD">
        <w:rPr>
          <w:rFonts w:ascii="Arial" w:eastAsia="Calibri" w:hAnsi="Arial" w:cs="Arial"/>
          <w:sz w:val="24"/>
          <w:szCs w:val="24"/>
        </w:rPr>
        <w:t>only 24 hours</w:t>
      </w:r>
      <w:r w:rsidR="0086152F" w:rsidRPr="00263BAD">
        <w:rPr>
          <w:rFonts w:ascii="Arial" w:eastAsia="Calibri" w:hAnsi="Arial" w:cs="Arial"/>
          <w:sz w:val="24"/>
          <w:szCs w:val="24"/>
        </w:rPr>
        <w:t xml:space="preserve"> a week</w:t>
      </w:r>
      <w:r w:rsidR="001B2D99" w:rsidRPr="00263BAD">
        <w:rPr>
          <w:rFonts w:ascii="Arial" w:eastAsia="Calibri" w:hAnsi="Arial" w:cs="Arial"/>
          <w:sz w:val="24"/>
          <w:szCs w:val="24"/>
        </w:rPr>
        <w:t xml:space="preserve"> at the time</w:t>
      </w:r>
      <w:r w:rsidR="00594340" w:rsidRPr="00263BAD">
        <w:rPr>
          <w:rFonts w:ascii="Arial" w:eastAsia="Calibri" w:hAnsi="Arial" w:cs="Arial"/>
          <w:sz w:val="24"/>
          <w:szCs w:val="24"/>
        </w:rPr>
        <w:t xml:space="preserve"> under consideration</w:t>
      </w:r>
      <w:r w:rsidR="00146681" w:rsidRPr="00263BAD">
        <w:rPr>
          <w:rFonts w:ascii="Arial" w:eastAsia="Calibri" w:hAnsi="Arial" w:cs="Arial"/>
          <w:sz w:val="24"/>
          <w:szCs w:val="24"/>
        </w:rPr>
        <w:t>.</w:t>
      </w:r>
    </w:p>
    <w:p w14:paraId="50624B88" w14:textId="77777777" w:rsidR="00B01420" w:rsidRPr="00263BAD" w:rsidRDefault="00B01420" w:rsidP="00DE12DE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</w:p>
    <w:p w14:paraId="59E80D1E" w14:textId="501E55E5" w:rsidR="002A092D" w:rsidRPr="00263BAD" w:rsidRDefault="00DE12DE" w:rsidP="00DE12DE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7.</w:t>
      </w:r>
      <w:r>
        <w:rPr>
          <w:rFonts w:ascii="Arial" w:eastAsia="Calibri" w:hAnsi="Arial" w:cs="Arial"/>
          <w:sz w:val="24"/>
          <w:szCs w:val="24"/>
        </w:rPr>
        <w:tab/>
      </w:r>
      <w:r w:rsidR="002A092D" w:rsidRPr="00263BAD">
        <w:rPr>
          <w:rFonts w:ascii="Arial" w:eastAsia="Calibri" w:hAnsi="Arial" w:cs="Arial"/>
          <w:sz w:val="24"/>
          <w:szCs w:val="24"/>
        </w:rPr>
        <w:t>I am grateful to both representatives for their</w:t>
      </w:r>
      <w:r w:rsidR="00E021C2" w:rsidRPr="00263BAD">
        <w:rPr>
          <w:rFonts w:ascii="Arial" w:eastAsia="Calibri" w:hAnsi="Arial" w:cs="Arial"/>
          <w:sz w:val="24"/>
          <w:szCs w:val="24"/>
        </w:rPr>
        <w:t xml:space="preserve"> detailed submissions, and for their co-operation, which has assisted me significantly. </w:t>
      </w:r>
    </w:p>
    <w:p w14:paraId="6DA4D036" w14:textId="77777777" w:rsidR="00E021C2" w:rsidRPr="00263BAD" w:rsidRDefault="00E021C2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71207E" w14:textId="1BCDBEF9" w:rsidR="00E021C2" w:rsidRPr="00263BAD" w:rsidRDefault="000F544F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E021C2" w:rsidRPr="00263BAD">
        <w:rPr>
          <w:rFonts w:ascii="Arial" w:eastAsia="Calibri" w:hAnsi="Arial" w:cs="Arial"/>
          <w:b/>
          <w:bCs/>
          <w:sz w:val="24"/>
          <w:szCs w:val="24"/>
        </w:rPr>
        <w:t>The agreed matters</w:t>
      </w:r>
    </w:p>
    <w:p w14:paraId="55E99A72" w14:textId="77777777" w:rsidR="00E021C2" w:rsidRPr="00263BAD" w:rsidRDefault="00E021C2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31AF10" w14:textId="1BF9031F" w:rsidR="001E6BE8" w:rsidRPr="00263BAD" w:rsidRDefault="000F544F" w:rsidP="000F544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8.</w:t>
      </w:r>
      <w:r>
        <w:rPr>
          <w:rFonts w:ascii="Arial" w:eastAsia="Calibri" w:hAnsi="Arial" w:cs="Arial"/>
          <w:sz w:val="24"/>
          <w:szCs w:val="24"/>
        </w:rPr>
        <w:tab/>
      </w:r>
      <w:r w:rsidR="00146681" w:rsidRPr="00263BAD">
        <w:rPr>
          <w:rFonts w:ascii="Arial" w:eastAsia="Calibri" w:hAnsi="Arial" w:cs="Arial"/>
          <w:sz w:val="24"/>
          <w:szCs w:val="24"/>
        </w:rPr>
        <w:t xml:space="preserve">There is common ground between the parties that this factual error </w:t>
      </w:r>
      <w:r w:rsidR="00BA1565" w:rsidRPr="00263BAD">
        <w:rPr>
          <w:rFonts w:ascii="Arial" w:eastAsia="Calibri" w:hAnsi="Arial" w:cs="Arial"/>
          <w:sz w:val="24"/>
          <w:szCs w:val="24"/>
        </w:rPr>
        <w:t>by the Tribunal</w:t>
      </w:r>
      <w:r w:rsidR="00146681" w:rsidRPr="00263BAD">
        <w:rPr>
          <w:rFonts w:ascii="Arial" w:eastAsia="Calibri" w:hAnsi="Arial" w:cs="Arial"/>
          <w:sz w:val="24"/>
          <w:szCs w:val="24"/>
        </w:rPr>
        <w:t xml:space="preserve"> amounts to an error of law that requires me to set aside the decision and direct that the matter be reheard.</w:t>
      </w:r>
    </w:p>
    <w:p w14:paraId="0F3380E3" w14:textId="77777777" w:rsidR="00B01420" w:rsidRPr="00263BAD" w:rsidRDefault="00B01420" w:rsidP="000F544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bCs/>
          <w:sz w:val="24"/>
          <w:szCs w:val="24"/>
        </w:rPr>
      </w:pPr>
    </w:p>
    <w:p w14:paraId="669AECC1" w14:textId="07FAE2B6" w:rsidR="001E6BE8" w:rsidRPr="00263BAD" w:rsidRDefault="000F544F" w:rsidP="000F544F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9.</w:t>
      </w:r>
      <w:r>
        <w:rPr>
          <w:rFonts w:ascii="Arial" w:eastAsia="Calibri" w:hAnsi="Arial" w:cs="Arial"/>
          <w:sz w:val="24"/>
          <w:szCs w:val="24"/>
        </w:rPr>
        <w:tab/>
      </w:r>
      <w:r w:rsidR="001E6BE8" w:rsidRPr="00263BAD">
        <w:rPr>
          <w:rFonts w:ascii="Arial" w:eastAsia="Calibri" w:hAnsi="Arial" w:cs="Arial"/>
          <w:sz w:val="24"/>
          <w:szCs w:val="24"/>
        </w:rPr>
        <w:t>Given that support, I need not dwell long on the detail: I accept</w:t>
      </w:r>
      <w:r w:rsidR="00BA1565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FA6D35" w:rsidRPr="00263BAD">
        <w:rPr>
          <w:rFonts w:ascii="Arial" w:eastAsia="Calibri" w:hAnsi="Arial" w:cs="Arial"/>
          <w:sz w:val="24"/>
          <w:szCs w:val="24"/>
        </w:rPr>
        <w:t>that t</w:t>
      </w:r>
      <w:r w:rsidR="001E6BE8" w:rsidRPr="00263BAD">
        <w:rPr>
          <w:rFonts w:ascii="Arial" w:eastAsia="Calibri" w:hAnsi="Arial" w:cs="Arial"/>
          <w:sz w:val="24"/>
          <w:szCs w:val="24"/>
        </w:rPr>
        <w:t>he Statement of Reasons drafted by the legal member is based on a false premise</w:t>
      </w:r>
      <w:r w:rsidR="002B7D4B" w:rsidRPr="00263BA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E6BE8" w:rsidRPr="00263BAD">
        <w:rPr>
          <w:rFonts w:ascii="Arial" w:eastAsia="Calibri" w:hAnsi="Arial" w:cs="Arial"/>
          <w:sz w:val="24"/>
          <w:szCs w:val="24"/>
        </w:rPr>
        <w:t xml:space="preserve">This was that the account of the appellant could not be accepted, </w:t>
      </w:r>
      <w:r w:rsidR="00B70AC4" w:rsidRPr="00263BAD">
        <w:rPr>
          <w:rFonts w:ascii="Arial" w:eastAsia="Calibri" w:hAnsi="Arial" w:cs="Arial"/>
          <w:sz w:val="24"/>
          <w:szCs w:val="24"/>
        </w:rPr>
        <w:t>because</w:t>
      </w:r>
      <w:r w:rsidR="001E6BE8" w:rsidRPr="00263BAD">
        <w:rPr>
          <w:rFonts w:ascii="Arial" w:eastAsia="Calibri" w:hAnsi="Arial" w:cs="Arial"/>
          <w:sz w:val="24"/>
          <w:szCs w:val="24"/>
        </w:rPr>
        <w:t xml:space="preserve"> the evidence of the assistance provided to him by his wife during a typical day was unlikely given her work pattern of 50 hours each week</w:t>
      </w:r>
      <w:r w:rsidR="00DC6483" w:rsidRPr="00263BAD">
        <w:rPr>
          <w:rFonts w:ascii="Arial" w:eastAsia="Calibri" w:hAnsi="Arial" w:cs="Arial"/>
          <w:sz w:val="24"/>
          <w:szCs w:val="24"/>
        </w:rPr>
        <w:t>; accordingly, his evidence</w:t>
      </w:r>
      <w:r w:rsidR="001B67B5" w:rsidRPr="00263BAD">
        <w:rPr>
          <w:rFonts w:ascii="Arial" w:eastAsia="Calibri" w:hAnsi="Arial" w:cs="Arial"/>
          <w:sz w:val="24"/>
          <w:szCs w:val="24"/>
        </w:rPr>
        <w:t xml:space="preserve"> was found to</w:t>
      </w:r>
      <w:r w:rsidR="00DC6483" w:rsidRPr="00263BAD">
        <w:rPr>
          <w:rFonts w:ascii="Arial" w:eastAsia="Calibri" w:hAnsi="Arial" w:cs="Arial"/>
          <w:sz w:val="24"/>
          <w:szCs w:val="24"/>
        </w:rPr>
        <w:t xml:space="preserve"> lack credibility.</w:t>
      </w:r>
    </w:p>
    <w:p w14:paraId="530405A5" w14:textId="77777777" w:rsidR="00B70AC4" w:rsidRPr="000F544F" w:rsidRDefault="00B70AC4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E6A50D" w14:textId="51683E59" w:rsidR="00B70AC4" w:rsidRPr="00263BAD" w:rsidRDefault="00CE7291" w:rsidP="00B330D8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B70AC4" w:rsidRPr="00263BAD">
        <w:rPr>
          <w:rFonts w:ascii="Arial" w:eastAsia="Calibri" w:hAnsi="Arial" w:cs="Arial"/>
          <w:b/>
          <w:bCs/>
          <w:sz w:val="24"/>
          <w:szCs w:val="24"/>
        </w:rPr>
        <w:t>An error of fact can amount to an error of law</w:t>
      </w:r>
    </w:p>
    <w:p w14:paraId="487BD35C" w14:textId="77777777" w:rsidR="00CE7291" w:rsidRDefault="00CE7291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rPr>
          <w:rFonts w:ascii="Arial" w:eastAsia="Calibri" w:hAnsi="Arial" w:cs="Arial"/>
          <w:sz w:val="24"/>
          <w:szCs w:val="24"/>
        </w:rPr>
      </w:pPr>
    </w:p>
    <w:p w14:paraId="25FAEDCD" w14:textId="567B3AC7" w:rsidR="00F866E5" w:rsidRPr="00263BAD" w:rsidRDefault="00CE7291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10.</w:t>
      </w:r>
      <w:r>
        <w:rPr>
          <w:rFonts w:ascii="Arial" w:eastAsia="Calibri" w:hAnsi="Arial" w:cs="Arial"/>
          <w:sz w:val="24"/>
          <w:szCs w:val="24"/>
        </w:rPr>
        <w:tab/>
      </w:r>
      <w:r w:rsidR="00F05FBD" w:rsidRPr="00263BAD">
        <w:rPr>
          <w:rFonts w:ascii="Arial" w:eastAsia="Calibri" w:hAnsi="Arial" w:cs="Arial"/>
          <w:sz w:val="24"/>
          <w:szCs w:val="24"/>
        </w:rPr>
        <w:t xml:space="preserve">In cases where a factual error </w:t>
      </w:r>
      <w:r w:rsidR="00CC53B9" w:rsidRPr="00263BAD">
        <w:rPr>
          <w:rFonts w:ascii="Arial" w:eastAsia="Calibri" w:hAnsi="Arial" w:cs="Arial"/>
          <w:sz w:val="24"/>
          <w:szCs w:val="24"/>
        </w:rPr>
        <w:t xml:space="preserve">has a real bearing on the outcome, it may </w:t>
      </w:r>
      <w:r w:rsidR="007260FC" w:rsidRPr="00263BAD">
        <w:rPr>
          <w:rFonts w:ascii="Arial" w:eastAsia="Calibri" w:hAnsi="Arial" w:cs="Arial"/>
          <w:sz w:val="24"/>
          <w:szCs w:val="24"/>
        </w:rPr>
        <w:t>become</w:t>
      </w:r>
      <w:r w:rsidR="00CC53B9" w:rsidRPr="00263BAD">
        <w:rPr>
          <w:rFonts w:ascii="Arial" w:eastAsia="Calibri" w:hAnsi="Arial" w:cs="Arial"/>
          <w:sz w:val="24"/>
          <w:szCs w:val="24"/>
        </w:rPr>
        <w:t xml:space="preserve"> an error of law: </w:t>
      </w:r>
      <w:r w:rsidR="00872BCE" w:rsidRPr="00263BAD">
        <w:rPr>
          <w:rFonts w:ascii="Arial" w:eastAsia="Calibri" w:hAnsi="Arial" w:cs="Arial"/>
          <w:sz w:val="24"/>
          <w:szCs w:val="24"/>
        </w:rPr>
        <w:t xml:space="preserve">in </w:t>
      </w:r>
      <w:r w:rsidR="00D17EA1" w:rsidRPr="00263BAD">
        <w:rPr>
          <w:rFonts w:ascii="Arial" w:eastAsia="Calibri" w:hAnsi="Arial" w:cs="Arial"/>
          <w:i/>
          <w:iCs/>
          <w:sz w:val="24"/>
          <w:szCs w:val="24"/>
        </w:rPr>
        <w:t xml:space="preserve">DC v </w:t>
      </w:r>
      <w:bookmarkStart w:id="0" w:name="_Hlk151052936"/>
      <w:r w:rsidR="00D17EA1" w:rsidRPr="00263BAD">
        <w:rPr>
          <w:rFonts w:ascii="Arial" w:eastAsia="Calibri" w:hAnsi="Arial" w:cs="Arial"/>
          <w:i/>
          <w:iCs/>
          <w:sz w:val="24"/>
          <w:szCs w:val="24"/>
        </w:rPr>
        <w:t>Department for Social Development</w:t>
      </w:r>
      <w:r w:rsidR="00D17EA1" w:rsidRPr="00263BAD">
        <w:rPr>
          <w:rFonts w:ascii="Arial" w:eastAsia="Calibri" w:hAnsi="Arial" w:cs="Arial"/>
          <w:sz w:val="24"/>
          <w:szCs w:val="24"/>
        </w:rPr>
        <w:t xml:space="preserve"> </w:t>
      </w:r>
      <w:bookmarkEnd w:id="0"/>
      <w:r w:rsidR="00872BCE" w:rsidRPr="00263BAD">
        <w:rPr>
          <w:rFonts w:ascii="Arial" w:eastAsia="Calibri" w:hAnsi="Arial" w:cs="Arial"/>
          <w:sz w:val="24"/>
          <w:szCs w:val="24"/>
        </w:rPr>
        <w:t xml:space="preserve">(ESA) </w:t>
      </w:r>
      <w:r w:rsidR="007260FC" w:rsidRPr="00263BAD">
        <w:rPr>
          <w:rFonts w:ascii="Arial" w:eastAsia="Calibri" w:hAnsi="Arial" w:cs="Arial"/>
          <w:sz w:val="24"/>
          <w:szCs w:val="24"/>
        </w:rPr>
        <w:t>[</w:t>
      </w:r>
      <w:r w:rsidR="00872BCE" w:rsidRPr="00263BAD">
        <w:rPr>
          <w:rFonts w:ascii="Arial" w:eastAsia="Calibri" w:hAnsi="Arial" w:cs="Arial"/>
          <w:sz w:val="24"/>
          <w:szCs w:val="24"/>
        </w:rPr>
        <w:t>2014</w:t>
      </w:r>
      <w:r w:rsidR="007260FC" w:rsidRPr="00263BAD">
        <w:rPr>
          <w:rFonts w:ascii="Arial" w:eastAsia="Calibri" w:hAnsi="Arial" w:cs="Arial"/>
          <w:sz w:val="24"/>
          <w:szCs w:val="24"/>
        </w:rPr>
        <w:t>]</w:t>
      </w:r>
      <w:r w:rsidR="00872BCE" w:rsidRPr="00263BAD">
        <w:rPr>
          <w:rFonts w:ascii="Arial" w:eastAsia="Calibri" w:hAnsi="Arial" w:cs="Arial"/>
          <w:sz w:val="24"/>
          <w:szCs w:val="24"/>
        </w:rPr>
        <w:t xml:space="preserve"> NICom 49 Mr Commissioner Stockman explained this, citing two </w:t>
      </w:r>
      <w:r w:rsidR="0060751B" w:rsidRPr="00263BAD">
        <w:rPr>
          <w:rFonts w:ascii="Arial" w:eastAsia="Calibri" w:hAnsi="Arial" w:cs="Arial"/>
          <w:sz w:val="24"/>
          <w:szCs w:val="24"/>
        </w:rPr>
        <w:t xml:space="preserve">seminal </w:t>
      </w:r>
      <w:r w:rsidR="00872BCE" w:rsidRPr="00263BAD">
        <w:rPr>
          <w:rFonts w:ascii="Arial" w:eastAsia="Calibri" w:hAnsi="Arial" w:cs="Arial"/>
          <w:sz w:val="24"/>
          <w:szCs w:val="24"/>
        </w:rPr>
        <w:t xml:space="preserve">cases from the </w:t>
      </w:r>
      <w:r w:rsidR="0060751B" w:rsidRPr="00263BAD">
        <w:rPr>
          <w:rFonts w:ascii="Arial" w:eastAsia="Calibri" w:hAnsi="Arial" w:cs="Arial"/>
          <w:sz w:val="24"/>
          <w:szCs w:val="24"/>
        </w:rPr>
        <w:t xml:space="preserve">Court </w:t>
      </w:r>
      <w:r w:rsidR="00872BCE" w:rsidRPr="00263BAD">
        <w:rPr>
          <w:rFonts w:ascii="Arial" w:eastAsia="Calibri" w:hAnsi="Arial" w:cs="Arial"/>
          <w:sz w:val="24"/>
          <w:szCs w:val="24"/>
        </w:rPr>
        <w:t xml:space="preserve">of Appeal in England and Wales, </w:t>
      </w:r>
      <w:r w:rsidR="00E352C0" w:rsidRPr="00263BAD">
        <w:rPr>
          <w:rFonts w:ascii="Arial" w:eastAsia="Calibri" w:hAnsi="Arial" w:cs="Arial"/>
          <w:i/>
          <w:iCs/>
          <w:sz w:val="24"/>
          <w:szCs w:val="24"/>
        </w:rPr>
        <w:t xml:space="preserve">R(Iran) v Secretary of State for the Home Department </w:t>
      </w:r>
      <w:r w:rsidR="00E352C0" w:rsidRPr="00263BAD">
        <w:rPr>
          <w:rFonts w:ascii="Arial" w:eastAsia="Calibri" w:hAnsi="Arial" w:cs="Arial"/>
          <w:sz w:val="24"/>
          <w:szCs w:val="24"/>
        </w:rPr>
        <w:t xml:space="preserve">[2005] </w:t>
      </w:r>
      <w:r w:rsidR="00DC7530" w:rsidRPr="00263BAD">
        <w:rPr>
          <w:rFonts w:ascii="Arial" w:eastAsia="Calibri" w:hAnsi="Arial" w:cs="Arial"/>
          <w:sz w:val="24"/>
          <w:szCs w:val="24"/>
        </w:rPr>
        <w:t xml:space="preserve">EWCA Civ 982 [28-32] and </w:t>
      </w:r>
      <w:r w:rsidR="00DC7530" w:rsidRPr="00263BAD">
        <w:rPr>
          <w:rFonts w:ascii="Arial" w:eastAsia="Calibri" w:hAnsi="Arial" w:cs="Arial"/>
          <w:i/>
          <w:iCs/>
          <w:sz w:val="24"/>
          <w:szCs w:val="24"/>
        </w:rPr>
        <w:t xml:space="preserve">E &amp; R v Home Secretary </w:t>
      </w:r>
      <w:r w:rsidR="00F70C8F" w:rsidRPr="00263BAD">
        <w:rPr>
          <w:rFonts w:ascii="Arial" w:eastAsia="Calibri" w:hAnsi="Arial" w:cs="Arial"/>
          <w:sz w:val="24"/>
          <w:szCs w:val="24"/>
        </w:rPr>
        <w:t>[2004] EWCA Civ 49</w:t>
      </w:r>
      <w:r w:rsidR="0034275D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34275D" w:rsidRPr="00263BAD">
        <w:rPr>
          <w:rFonts w:ascii="Arial" w:eastAsia="Calibri" w:hAnsi="Arial" w:cs="Arial"/>
          <w:i/>
          <w:iCs/>
          <w:sz w:val="24"/>
          <w:szCs w:val="24"/>
        </w:rPr>
        <w:t>(</w:t>
      </w:r>
      <w:bookmarkStart w:id="1" w:name="_Hlk151053527"/>
      <w:r w:rsidR="0034275D" w:rsidRPr="00263BAD">
        <w:rPr>
          <w:rFonts w:ascii="Arial" w:eastAsia="Calibri" w:hAnsi="Arial" w:cs="Arial"/>
          <w:i/>
          <w:iCs/>
          <w:sz w:val="24"/>
          <w:szCs w:val="24"/>
        </w:rPr>
        <w:t>E &amp; R</w:t>
      </w:r>
      <w:bookmarkEnd w:id="1"/>
      <w:r w:rsidR="0034275D" w:rsidRPr="00263BAD">
        <w:rPr>
          <w:rFonts w:ascii="Arial" w:eastAsia="Calibri" w:hAnsi="Arial" w:cs="Arial"/>
          <w:i/>
          <w:iCs/>
          <w:sz w:val="24"/>
          <w:szCs w:val="24"/>
        </w:rPr>
        <w:t>)</w:t>
      </w:r>
      <w:r w:rsidR="00F70C8F" w:rsidRPr="00263BAD">
        <w:rPr>
          <w:rFonts w:ascii="Arial" w:eastAsia="Calibri" w:hAnsi="Arial" w:cs="Arial"/>
          <w:i/>
          <w:iCs/>
          <w:sz w:val="24"/>
          <w:szCs w:val="24"/>
        </w:rPr>
        <w:t>.</w:t>
      </w:r>
    </w:p>
    <w:p w14:paraId="5F6568AB" w14:textId="77777777" w:rsidR="00B01420" w:rsidRPr="00263BAD" w:rsidRDefault="00B01420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0AD5FAAE" w14:textId="5CBE0D46" w:rsidR="00B01420" w:rsidRPr="00263BAD" w:rsidRDefault="00CE7291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11.</w:t>
      </w:r>
      <w:r>
        <w:rPr>
          <w:rFonts w:ascii="Arial" w:eastAsia="Calibri" w:hAnsi="Arial" w:cs="Arial"/>
          <w:sz w:val="24"/>
          <w:szCs w:val="24"/>
        </w:rPr>
        <w:tab/>
      </w:r>
      <w:r w:rsidR="00F70C8F" w:rsidRPr="00263BAD">
        <w:rPr>
          <w:rFonts w:ascii="Arial" w:eastAsia="Calibri" w:hAnsi="Arial" w:cs="Arial"/>
          <w:sz w:val="24"/>
          <w:szCs w:val="24"/>
        </w:rPr>
        <w:t>The circumstances</w:t>
      </w:r>
      <w:r w:rsidR="00E26280" w:rsidRPr="00263BAD">
        <w:rPr>
          <w:rFonts w:ascii="Arial" w:eastAsia="Calibri" w:hAnsi="Arial" w:cs="Arial"/>
          <w:sz w:val="24"/>
          <w:szCs w:val="24"/>
        </w:rPr>
        <w:t xml:space="preserve"> where this might happen</w:t>
      </w:r>
      <w:r w:rsidR="00F70C8F" w:rsidRPr="00263BAD">
        <w:rPr>
          <w:rFonts w:ascii="Arial" w:eastAsia="Calibri" w:hAnsi="Arial" w:cs="Arial"/>
          <w:sz w:val="24"/>
          <w:szCs w:val="24"/>
        </w:rPr>
        <w:t xml:space="preserve"> are </w:t>
      </w:r>
      <w:r w:rsidR="002B7D4B" w:rsidRPr="00263BAD">
        <w:rPr>
          <w:rFonts w:ascii="Arial" w:eastAsia="Calibri" w:hAnsi="Arial" w:cs="Arial"/>
          <w:sz w:val="24"/>
          <w:szCs w:val="24"/>
        </w:rPr>
        <w:t>limited but</w:t>
      </w:r>
      <w:r w:rsidR="00F70C8F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E75EAF" w:rsidRPr="00263BAD">
        <w:rPr>
          <w:rFonts w:ascii="Arial" w:eastAsia="Calibri" w:hAnsi="Arial" w:cs="Arial"/>
          <w:sz w:val="24"/>
          <w:szCs w:val="24"/>
        </w:rPr>
        <w:t xml:space="preserve">include </w:t>
      </w:r>
      <w:r w:rsidR="00F70C8F" w:rsidRPr="00263BAD">
        <w:rPr>
          <w:rFonts w:ascii="Arial" w:eastAsia="Calibri" w:hAnsi="Arial" w:cs="Arial"/>
          <w:sz w:val="24"/>
          <w:szCs w:val="24"/>
        </w:rPr>
        <w:t>th</w:t>
      </w:r>
      <w:r w:rsidR="00C3597E" w:rsidRPr="00263BAD">
        <w:rPr>
          <w:rFonts w:ascii="Arial" w:eastAsia="Calibri" w:hAnsi="Arial" w:cs="Arial"/>
          <w:sz w:val="24"/>
          <w:szCs w:val="24"/>
        </w:rPr>
        <w:t xml:space="preserve">e feature of this case </w:t>
      </w:r>
      <w:r w:rsidR="00BB6235" w:rsidRPr="00263BAD">
        <w:rPr>
          <w:rFonts w:ascii="Arial" w:eastAsia="Calibri" w:hAnsi="Arial" w:cs="Arial"/>
          <w:sz w:val="24"/>
          <w:szCs w:val="24"/>
        </w:rPr>
        <w:t>of</w:t>
      </w:r>
      <w:r w:rsidR="00C3597E" w:rsidRPr="00263BAD">
        <w:rPr>
          <w:rFonts w:ascii="Arial" w:eastAsia="Calibri" w:hAnsi="Arial" w:cs="Arial"/>
          <w:sz w:val="24"/>
          <w:szCs w:val="24"/>
        </w:rPr>
        <w:t xml:space="preserve"> a factual mistake</w:t>
      </w:r>
      <w:r w:rsidR="00567B89" w:rsidRPr="00263BAD">
        <w:rPr>
          <w:rFonts w:ascii="Arial" w:eastAsia="Calibri" w:hAnsi="Arial" w:cs="Arial"/>
          <w:sz w:val="24"/>
          <w:szCs w:val="24"/>
        </w:rPr>
        <w:t xml:space="preserve"> where the </w:t>
      </w:r>
      <w:r w:rsidR="004E5950" w:rsidRPr="00263BAD">
        <w:rPr>
          <w:rFonts w:ascii="Arial" w:eastAsia="Calibri" w:hAnsi="Arial" w:cs="Arial"/>
          <w:sz w:val="24"/>
          <w:szCs w:val="24"/>
        </w:rPr>
        <w:t>statutory authority has an interest in the</w:t>
      </w:r>
      <w:r w:rsidR="00360477" w:rsidRPr="00263BAD">
        <w:rPr>
          <w:rFonts w:ascii="Arial" w:eastAsia="Calibri" w:hAnsi="Arial" w:cs="Arial"/>
          <w:sz w:val="24"/>
          <w:szCs w:val="24"/>
        </w:rPr>
        <w:t xml:space="preserve"> decision being made on the best information, and </w:t>
      </w:r>
      <w:r w:rsidR="00963CFC" w:rsidRPr="00263BAD">
        <w:rPr>
          <w:rFonts w:ascii="Arial" w:eastAsia="Calibri" w:hAnsi="Arial" w:cs="Arial"/>
          <w:sz w:val="24"/>
          <w:szCs w:val="24"/>
        </w:rPr>
        <w:t xml:space="preserve">on the correct factual basis.  Social Security law is quintessentially such </w:t>
      </w:r>
      <w:r w:rsidR="00163D0D" w:rsidRPr="00263BAD">
        <w:rPr>
          <w:rFonts w:ascii="Arial" w:eastAsia="Calibri" w:hAnsi="Arial" w:cs="Arial"/>
          <w:sz w:val="24"/>
          <w:szCs w:val="24"/>
        </w:rPr>
        <w:t>an area</w:t>
      </w:r>
      <w:r w:rsidR="00F83131" w:rsidRPr="00263BAD">
        <w:rPr>
          <w:rFonts w:ascii="Arial" w:eastAsia="Calibri" w:hAnsi="Arial" w:cs="Arial"/>
          <w:sz w:val="24"/>
          <w:szCs w:val="24"/>
        </w:rPr>
        <w:t>: see, for example, the judgment o</w:t>
      </w:r>
      <w:r w:rsidR="00297EDF" w:rsidRPr="00263BAD">
        <w:rPr>
          <w:rFonts w:ascii="Arial" w:eastAsia="Calibri" w:hAnsi="Arial" w:cs="Arial"/>
          <w:sz w:val="24"/>
          <w:szCs w:val="24"/>
        </w:rPr>
        <w:t>f</w:t>
      </w:r>
      <w:r w:rsidR="00F83131" w:rsidRPr="00263BAD">
        <w:rPr>
          <w:rFonts w:ascii="Arial" w:eastAsia="Calibri" w:hAnsi="Arial" w:cs="Arial"/>
          <w:sz w:val="24"/>
          <w:szCs w:val="24"/>
        </w:rPr>
        <w:t xml:space="preserve"> Baroness Hale in </w:t>
      </w:r>
      <w:r w:rsidR="00F83131" w:rsidRPr="00263BAD">
        <w:rPr>
          <w:rFonts w:ascii="Arial" w:eastAsia="Calibri" w:hAnsi="Arial" w:cs="Arial"/>
          <w:i/>
          <w:iCs/>
          <w:sz w:val="24"/>
          <w:szCs w:val="24"/>
        </w:rPr>
        <w:t>Kerr v</w:t>
      </w:r>
      <w:r w:rsidR="00297EDF" w:rsidRPr="00263BAD">
        <w:rPr>
          <w:rFonts w:ascii="Arial" w:eastAsia="Calibri" w:hAnsi="Arial" w:cs="Arial"/>
          <w:i/>
          <w:iCs/>
          <w:sz w:val="24"/>
          <w:szCs w:val="24"/>
        </w:rPr>
        <w:t xml:space="preserve"> Department for Social Development</w:t>
      </w:r>
      <w:r w:rsidR="005120D9" w:rsidRPr="00263BAD">
        <w:rPr>
          <w:rFonts w:ascii="Arial" w:eastAsia="Calibri" w:hAnsi="Arial" w:cs="Arial"/>
          <w:i/>
          <w:iCs/>
          <w:sz w:val="24"/>
          <w:szCs w:val="24"/>
        </w:rPr>
        <w:t xml:space="preserve"> Northern Ireland</w:t>
      </w:r>
      <w:r w:rsidR="005120D9" w:rsidRPr="00263BAD">
        <w:rPr>
          <w:rFonts w:ascii="Arial" w:eastAsia="Calibri" w:hAnsi="Arial" w:cs="Arial"/>
          <w:sz w:val="24"/>
          <w:szCs w:val="24"/>
        </w:rPr>
        <w:t xml:space="preserve"> [2004] </w:t>
      </w:r>
      <w:r w:rsidR="00BC44DC" w:rsidRPr="00263BAD">
        <w:rPr>
          <w:rFonts w:ascii="Arial" w:eastAsia="Calibri" w:hAnsi="Arial" w:cs="Arial"/>
          <w:sz w:val="24"/>
          <w:szCs w:val="24"/>
        </w:rPr>
        <w:t xml:space="preserve">UKHL 23, where she </w:t>
      </w:r>
      <w:r w:rsidR="00BC44DC" w:rsidRPr="00263BAD">
        <w:rPr>
          <w:rFonts w:ascii="Arial" w:eastAsia="Calibri" w:hAnsi="Arial" w:cs="Arial"/>
          <w:sz w:val="24"/>
          <w:szCs w:val="24"/>
        </w:rPr>
        <w:lastRenderedPageBreak/>
        <w:t>described the process of social security decision</w:t>
      </w:r>
      <w:r w:rsidR="002B7D4B" w:rsidRPr="00263BAD">
        <w:rPr>
          <w:rFonts w:ascii="Arial" w:eastAsia="Calibri" w:hAnsi="Arial" w:cs="Arial"/>
          <w:sz w:val="24"/>
          <w:szCs w:val="24"/>
        </w:rPr>
        <w:t>-</w:t>
      </w:r>
      <w:r w:rsidR="00BC44DC" w:rsidRPr="00263BAD">
        <w:rPr>
          <w:rFonts w:ascii="Arial" w:eastAsia="Calibri" w:hAnsi="Arial" w:cs="Arial"/>
          <w:sz w:val="24"/>
          <w:szCs w:val="24"/>
        </w:rPr>
        <w:t>making as a co</w:t>
      </w:r>
      <w:r w:rsidR="0064492B" w:rsidRPr="00263BAD">
        <w:rPr>
          <w:rFonts w:ascii="Arial" w:eastAsia="Calibri" w:hAnsi="Arial" w:cs="Arial"/>
          <w:sz w:val="24"/>
          <w:szCs w:val="24"/>
        </w:rPr>
        <w:t>llaborative</w:t>
      </w:r>
      <w:r w:rsidR="00BC44DC" w:rsidRPr="00263BAD">
        <w:rPr>
          <w:rFonts w:ascii="Arial" w:eastAsia="Calibri" w:hAnsi="Arial" w:cs="Arial"/>
          <w:sz w:val="24"/>
          <w:szCs w:val="24"/>
        </w:rPr>
        <w:t xml:space="preserve"> one</w:t>
      </w:r>
      <w:r w:rsidR="0064492B" w:rsidRPr="00263BAD">
        <w:rPr>
          <w:rFonts w:ascii="Arial" w:eastAsia="Calibri" w:hAnsi="Arial" w:cs="Arial"/>
          <w:sz w:val="24"/>
          <w:szCs w:val="24"/>
        </w:rPr>
        <w:t xml:space="preserve"> between the department and a claimant,</w:t>
      </w:r>
      <w:r w:rsidR="00BC44DC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D0766D" w:rsidRPr="00263BAD">
        <w:rPr>
          <w:rFonts w:ascii="Arial" w:eastAsia="Calibri" w:hAnsi="Arial" w:cs="Arial"/>
          <w:sz w:val="24"/>
          <w:szCs w:val="24"/>
        </w:rPr>
        <w:t xml:space="preserve">the aim </w:t>
      </w:r>
      <w:r w:rsidR="00137E59" w:rsidRPr="00263BAD">
        <w:rPr>
          <w:rFonts w:ascii="Arial" w:eastAsia="Calibri" w:hAnsi="Arial" w:cs="Arial"/>
          <w:sz w:val="24"/>
          <w:szCs w:val="24"/>
        </w:rPr>
        <w:t>being</w:t>
      </w:r>
      <w:r w:rsidR="00D0766D" w:rsidRPr="00263BAD">
        <w:rPr>
          <w:rFonts w:ascii="Arial" w:eastAsia="Calibri" w:hAnsi="Arial" w:cs="Arial"/>
          <w:sz w:val="24"/>
          <w:szCs w:val="24"/>
        </w:rPr>
        <w:t xml:space="preserve"> </w:t>
      </w:r>
      <w:r w:rsidR="00E04441" w:rsidRPr="00263BAD">
        <w:rPr>
          <w:rFonts w:ascii="Arial" w:eastAsia="Calibri" w:hAnsi="Arial" w:cs="Arial"/>
          <w:sz w:val="24"/>
          <w:szCs w:val="24"/>
        </w:rPr>
        <w:t xml:space="preserve">a decision which is </w:t>
      </w:r>
      <w:r w:rsidR="004B6EFD" w:rsidRPr="00263BAD">
        <w:rPr>
          <w:rFonts w:ascii="Arial" w:eastAsia="Calibri" w:hAnsi="Arial" w:cs="Arial"/>
          <w:sz w:val="24"/>
          <w:szCs w:val="24"/>
        </w:rPr>
        <w:t>correct in its factual premise</w:t>
      </w:r>
      <w:r w:rsidR="00BA1FCE" w:rsidRPr="00263BAD">
        <w:rPr>
          <w:rFonts w:ascii="Arial" w:eastAsia="Calibri" w:hAnsi="Arial" w:cs="Arial"/>
          <w:sz w:val="24"/>
          <w:szCs w:val="24"/>
        </w:rPr>
        <w:t>s</w:t>
      </w:r>
      <w:r w:rsidR="004B6EFD" w:rsidRPr="00263BAD">
        <w:rPr>
          <w:rFonts w:ascii="Arial" w:eastAsia="Calibri" w:hAnsi="Arial" w:cs="Arial"/>
          <w:sz w:val="24"/>
          <w:szCs w:val="24"/>
        </w:rPr>
        <w:t>.</w:t>
      </w:r>
    </w:p>
    <w:p w14:paraId="603D1AC6" w14:textId="02100C60" w:rsidR="002A6177" w:rsidRPr="00263BAD" w:rsidRDefault="002A6177" w:rsidP="00CE7291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5D1BEC2D" w14:textId="50C2D533" w:rsidR="007B28BF" w:rsidRPr="00263BAD" w:rsidRDefault="00CE7291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12.</w:t>
      </w:r>
      <w:r>
        <w:rPr>
          <w:rFonts w:ascii="Arial" w:eastAsia="Calibri" w:hAnsi="Arial" w:cs="Arial"/>
          <w:sz w:val="24"/>
          <w:szCs w:val="24"/>
        </w:rPr>
        <w:tab/>
      </w:r>
      <w:r w:rsidR="008F3766" w:rsidRPr="00263BAD">
        <w:rPr>
          <w:rFonts w:ascii="Arial" w:eastAsia="Calibri" w:hAnsi="Arial" w:cs="Arial"/>
          <w:sz w:val="24"/>
          <w:szCs w:val="24"/>
        </w:rPr>
        <w:t xml:space="preserve">Where that is not so, the </w:t>
      </w:r>
      <w:r w:rsidR="00DB54A4" w:rsidRPr="00263BAD">
        <w:rPr>
          <w:rFonts w:ascii="Arial" w:eastAsia="Calibri" w:hAnsi="Arial" w:cs="Arial"/>
          <w:sz w:val="24"/>
          <w:szCs w:val="24"/>
        </w:rPr>
        <w:t xml:space="preserve">factual error </w:t>
      </w:r>
      <w:r w:rsidR="008F3766" w:rsidRPr="00263BAD">
        <w:rPr>
          <w:rFonts w:ascii="Arial" w:eastAsia="Calibri" w:hAnsi="Arial" w:cs="Arial"/>
          <w:sz w:val="24"/>
          <w:szCs w:val="24"/>
        </w:rPr>
        <w:t xml:space="preserve">may be </w:t>
      </w:r>
      <w:r w:rsidR="00DB54A4" w:rsidRPr="00263BAD">
        <w:rPr>
          <w:rFonts w:ascii="Arial" w:eastAsia="Calibri" w:hAnsi="Arial" w:cs="Arial"/>
          <w:sz w:val="24"/>
          <w:szCs w:val="24"/>
        </w:rPr>
        <w:t>elevated to an error of law</w:t>
      </w:r>
      <w:r w:rsidR="005C09B4" w:rsidRPr="00263BAD">
        <w:rPr>
          <w:rFonts w:ascii="Arial" w:eastAsia="Calibri" w:hAnsi="Arial" w:cs="Arial"/>
          <w:sz w:val="24"/>
          <w:szCs w:val="24"/>
        </w:rPr>
        <w:t xml:space="preserve">, as an </w:t>
      </w:r>
      <w:r w:rsidR="005A2446" w:rsidRPr="00263BAD">
        <w:rPr>
          <w:rFonts w:ascii="Arial" w:eastAsia="Calibri" w:hAnsi="Arial" w:cs="Arial"/>
          <w:sz w:val="24"/>
          <w:szCs w:val="24"/>
        </w:rPr>
        <w:t>“</w:t>
      </w:r>
      <w:r w:rsidR="005C09B4" w:rsidRPr="00263BAD">
        <w:rPr>
          <w:rFonts w:ascii="Arial" w:eastAsia="Calibri" w:hAnsi="Arial" w:cs="Arial"/>
          <w:sz w:val="24"/>
          <w:szCs w:val="24"/>
        </w:rPr>
        <w:t>unfairness</w:t>
      </w:r>
      <w:r w:rsidR="00F63C5D" w:rsidRPr="00263BAD">
        <w:rPr>
          <w:rFonts w:ascii="Arial" w:eastAsia="Calibri" w:hAnsi="Arial" w:cs="Arial"/>
          <w:sz w:val="24"/>
          <w:szCs w:val="24"/>
        </w:rPr>
        <w:t xml:space="preserve"> resulting from a misunderstanding </w:t>
      </w:r>
      <w:r w:rsidR="002A6177" w:rsidRPr="00263BAD">
        <w:rPr>
          <w:rFonts w:ascii="Arial" w:eastAsia="Calibri" w:hAnsi="Arial" w:cs="Arial"/>
          <w:sz w:val="24"/>
          <w:szCs w:val="24"/>
        </w:rPr>
        <w:t xml:space="preserve">or ignorance </w:t>
      </w:r>
      <w:r w:rsidR="00F63C5D" w:rsidRPr="00263BAD">
        <w:rPr>
          <w:rFonts w:ascii="Arial" w:eastAsia="Calibri" w:hAnsi="Arial" w:cs="Arial"/>
          <w:sz w:val="24"/>
          <w:szCs w:val="24"/>
        </w:rPr>
        <w:t xml:space="preserve">of an established </w:t>
      </w:r>
      <w:r w:rsidR="00167A06" w:rsidRPr="00263BAD">
        <w:rPr>
          <w:rFonts w:ascii="Arial" w:eastAsia="Calibri" w:hAnsi="Arial" w:cs="Arial"/>
          <w:sz w:val="24"/>
          <w:szCs w:val="24"/>
        </w:rPr>
        <w:t>and relevant fact.”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A6177" w:rsidRPr="00263BAD">
        <w:rPr>
          <w:rFonts w:ascii="Arial" w:eastAsia="Calibri" w:hAnsi="Arial" w:cs="Arial"/>
          <w:sz w:val="24"/>
          <w:szCs w:val="24"/>
        </w:rPr>
        <w:t xml:space="preserve"> Carnwath LJ (as he then was</w:t>
      </w:r>
      <w:r w:rsidR="00BA1FCE" w:rsidRPr="00263BAD">
        <w:rPr>
          <w:rFonts w:ascii="Arial" w:eastAsia="Calibri" w:hAnsi="Arial" w:cs="Arial"/>
          <w:sz w:val="24"/>
          <w:szCs w:val="24"/>
        </w:rPr>
        <w:t>)</w:t>
      </w:r>
      <w:r w:rsidR="0034275D" w:rsidRPr="00263BAD">
        <w:rPr>
          <w:rFonts w:ascii="Arial" w:eastAsia="Calibri" w:hAnsi="Arial" w:cs="Arial"/>
          <w:sz w:val="24"/>
          <w:szCs w:val="24"/>
        </w:rPr>
        <w:t xml:space="preserve"> in</w:t>
      </w:r>
      <w:r w:rsidR="0034275D" w:rsidRPr="00263BAD">
        <w:rPr>
          <w:rFonts w:ascii="Arial" w:eastAsia="Calibri" w:hAnsi="Arial" w:cs="Arial"/>
          <w:i/>
          <w:iCs/>
          <w:sz w:val="24"/>
          <w:szCs w:val="24"/>
        </w:rPr>
        <w:t xml:space="preserve"> E &amp; R</w:t>
      </w:r>
      <w:r w:rsidR="00DB54A4" w:rsidRPr="00263BAD">
        <w:rPr>
          <w:rFonts w:ascii="Arial" w:eastAsia="Calibri" w:hAnsi="Arial" w:cs="Arial"/>
          <w:sz w:val="24"/>
          <w:szCs w:val="24"/>
        </w:rPr>
        <w:t>.</w:t>
      </w:r>
    </w:p>
    <w:p w14:paraId="43473A9E" w14:textId="77777777" w:rsidR="00B01420" w:rsidRPr="00263BAD" w:rsidRDefault="00B01420" w:rsidP="00CE7291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713AA3" w14:textId="01B967BC" w:rsidR="00E7458A" w:rsidRPr="00263BAD" w:rsidRDefault="00B0639C" w:rsidP="00CE7291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E7458A" w:rsidRPr="00263BAD">
        <w:rPr>
          <w:rFonts w:ascii="Arial" w:eastAsia="Calibri" w:hAnsi="Arial" w:cs="Arial"/>
          <w:b/>
          <w:bCs/>
          <w:sz w:val="24"/>
          <w:szCs w:val="24"/>
        </w:rPr>
        <w:t>Other matters</w:t>
      </w:r>
    </w:p>
    <w:p w14:paraId="37C45338" w14:textId="77777777" w:rsidR="00B0639C" w:rsidRDefault="00B0639C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rPr>
          <w:rFonts w:ascii="Arial" w:eastAsia="Calibri" w:hAnsi="Arial" w:cs="Arial"/>
          <w:sz w:val="24"/>
          <w:szCs w:val="24"/>
        </w:rPr>
      </w:pPr>
    </w:p>
    <w:p w14:paraId="582D9F0A" w14:textId="2D4504C5" w:rsidR="00AD0F62" w:rsidRPr="00263BAD" w:rsidRDefault="00B0639C" w:rsidP="00B0639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13.</w:t>
      </w:r>
      <w:r>
        <w:rPr>
          <w:rFonts w:ascii="Arial" w:eastAsia="Calibri" w:hAnsi="Arial" w:cs="Arial"/>
          <w:sz w:val="24"/>
          <w:szCs w:val="24"/>
        </w:rPr>
        <w:tab/>
      </w:r>
      <w:r w:rsidR="00800080" w:rsidRPr="00263BAD">
        <w:rPr>
          <w:rFonts w:ascii="Arial" w:eastAsia="Calibri" w:hAnsi="Arial" w:cs="Arial"/>
          <w:sz w:val="24"/>
          <w:szCs w:val="24"/>
        </w:rPr>
        <w:t xml:space="preserve">There are other errors put forward, but I do not need to deal with them </w:t>
      </w:r>
      <w:r w:rsidR="00776B69" w:rsidRPr="00263BAD">
        <w:rPr>
          <w:rFonts w:ascii="Arial" w:eastAsia="Calibri" w:hAnsi="Arial" w:cs="Arial"/>
          <w:sz w:val="24"/>
          <w:szCs w:val="24"/>
        </w:rPr>
        <w:t>in this judgment</w:t>
      </w:r>
      <w:r w:rsidR="00B02F7C" w:rsidRPr="00263BAD">
        <w:rPr>
          <w:rFonts w:ascii="Arial" w:eastAsia="Calibri" w:hAnsi="Arial" w:cs="Arial"/>
          <w:sz w:val="24"/>
          <w:szCs w:val="24"/>
        </w:rPr>
        <w:t xml:space="preserve">: </w:t>
      </w:r>
      <w:r w:rsidR="00776B69" w:rsidRPr="00263BAD">
        <w:rPr>
          <w:rFonts w:ascii="Arial" w:eastAsia="Calibri" w:hAnsi="Arial" w:cs="Arial"/>
          <w:sz w:val="24"/>
          <w:szCs w:val="24"/>
        </w:rPr>
        <w:t xml:space="preserve">the thrust of the submissions was in respect of the </w:t>
      </w:r>
      <w:r w:rsidR="00047014" w:rsidRPr="00263BAD">
        <w:rPr>
          <w:rFonts w:ascii="Arial" w:eastAsia="Calibri" w:hAnsi="Arial" w:cs="Arial"/>
          <w:sz w:val="24"/>
          <w:szCs w:val="24"/>
        </w:rPr>
        <w:t>material error of fact a</w:t>
      </w:r>
      <w:r w:rsidR="00AD6CC2" w:rsidRPr="00263BAD">
        <w:rPr>
          <w:rFonts w:ascii="Arial" w:eastAsia="Calibri" w:hAnsi="Arial" w:cs="Arial"/>
          <w:sz w:val="24"/>
          <w:szCs w:val="24"/>
        </w:rPr>
        <w:t>bove</w:t>
      </w:r>
      <w:r w:rsidR="004356A4" w:rsidRPr="00263BAD">
        <w:rPr>
          <w:rFonts w:ascii="Arial" w:eastAsia="Calibri" w:hAnsi="Arial" w:cs="Arial"/>
          <w:sz w:val="24"/>
          <w:szCs w:val="24"/>
        </w:rPr>
        <w:t>, and that is sufficient for me to allow the appeal</w:t>
      </w:r>
      <w:r w:rsidR="00047014" w:rsidRPr="00263BAD">
        <w:rPr>
          <w:rFonts w:ascii="Arial" w:eastAsia="Calibri" w:hAnsi="Arial" w:cs="Arial"/>
          <w:sz w:val="24"/>
          <w:szCs w:val="24"/>
        </w:rPr>
        <w:t xml:space="preserve">.  </w:t>
      </w:r>
      <w:r w:rsidR="00094C77" w:rsidRPr="00263BAD">
        <w:rPr>
          <w:rFonts w:ascii="Arial" w:eastAsia="Calibri" w:hAnsi="Arial" w:cs="Arial"/>
          <w:sz w:val="24"/>
          <w:szCs w:val="24"/>
        </w:rPr>
        <w:t>I mention, however, that the mistake the Tribunal made in relation to t</w:t>
      </w:r>
      <w:r w:rsidR="00AD6CC2" w:rsidRPr="00263BAD">
        <w:rPr>
          <w:rFonts w:ascii="Arial" w:eastAsia="Calibri" w:hAnsi="Arial" w:cs="Arial"/>
          <w:sz w:val="24"/>
          <w:szCs w:val="24"/>
        </w:rPr>
        <w:t>he</w:t>
      </w:r>
      <w:r w:rsidR="00094C77" w:rsidRPr="00263BAD">
        <w:rPr>
          <w:rFonts w:ascii="Arial" w:eastAsia="Calibri" w:hAnsi="Arial" w:cs="Arial"/>
          <w:sz w:val="24"/>
          <w:szCs w:val="24"/>
        </w:rPr>
        <w:t xml:space="preserve"> error of fact was in </w:t>
      </w:r>
      <w:r w:rsidR="0081329B" w:rsidRPr="00263BAD">
        <w:rPr>
          <w:rFonts w:ascii="Arial" w:eastAsia="Calibri" w:hAnsi="Arial" w:cs="Arial"/>
          <w:sz w:val="24"/>
          <w:szCs w:val="24"/>
        </w:rPr>
        <w:t>pinning the appellant’s credibility to those false colours</w:t>
      </w:r>
      <w:r w:rsidR="002B7D4B" w:rsidRPr="00263BAD">
        <w:rPr>
          <w:rFonts w:ascii="Arial" w:eastAsia="Calibri" w:hAnsi="Arial" w:cs="Arial"/>
          <w:sz w:val="24"/>
          <w:szCs w:val="24"/>
        </w:rPr>
        <w:t>.</w:t>
      </w:r>
    </w:p>
    <w:p w14:paraId="17D324B9" w14:textId="77777777" w:rsidR="00B01420" w:rsidRPr="00263BAD" w:rsidRDefault="00B01420" w:rsidP="00B0639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</w:p>
    <w:p w14:paraId="642C8A49" w14:textId="2A113C35" w:rsidR="00F866E5" w:rsidRDefault="00B0639C" w:rsidP="00B0639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14.</w:t>
      </w:r>
      <w:r>
        <w:rPr>
          <w:rFonts w:ascii="Arial" w:eastAsia="Calibri" w:hAnsi="Arial" w:cs="Arial"/>
          <w:sz w:val="24"/>
          <w:szCs w:val="24"/>
        </w:rPr>
        <w:tab/>
      </w:r>
      <w:r w:rsidR="00971616" w:rsidRPr="00263BAD">
        <w:rPr>
          <w:rFonts w:ascii="Arial" w:eastAsia="Calibri" w:hAnsi="Arial" w:cs="Arial"/>
          <w:sz w:val="24"/>
          <w:szCs w:val="24"/>
        </w:rPr>
        <w:t>The actual assistance that his wife gave to the appellant at the material time</w:t>
      </w:r>
      <w:r w:rsidR="00914047" w:rsidRPr="00263BAD">
        <w:rPr>
          <w:rFonts w:ascii="Arial" w:eastAsia="Calibri" w:hAnsi="Arial" w:cs="Arial"/>
          <w:sz w:val="24"/>
          <w:szCs w:val="24"/>
        </w:rPr>
        <w:t xml:space="preserve"> may fall to be assessed, but the critical issue as a matter of law is not what help he received, but what help h</w:t>
      </w:r>
      <w:r w:rsidR="00CE20B3" w:rsidRPr="00263BAD">
        <w:rPr>
          <w:rFonts w:ascii="Arial" w:eastAsia="Calibri" w:hAnsi="Arial" w:cs="Arial"/>
          <w:sz w:val="24"/>
          <w:szCs w:val="24"/>
        </w:rPr>
        <w:t xml:space="preserve">is </w:t>
      </w:r>
      <w:r w:rsidR="00871F45" w:rsidRPr="00263BAD">
        <w:rPr>
          <w:rFonts w:ascii="Arial" w:eastAsia="Calibri" w:hAnsi="Arial" w:cs="Arial"/>
          <w:sz w:val="24"/>
          <w:szCs w:val="24"/>
        </w:rPr>
        <w:t>disablement</w:t>
      </w:r>
      <w:r w:rsidR="00CE20B3" w:rsidRPr="00263BAD">
        <w:rPr>
          <w:rFonts w:ascii="Arial" w:eastAsia="Calibri" w:hAnsi="Arial" w:cs="Arial"/>
          <w:sz w:val="24"/>
          <w:szCs w:val="24"/>
        </w:rPr>
        <w:t xml:space="preserve"> meant that he reasonably needed, whether he received that level of support or not: </w:t>
      </w:r>
      <w:r w:rsidR="00D250A1" w:rsidRPr="00263BAD">
        <w:rPr>
          <w:rFonts w:ascii="Arial" w:eastAsia="Calibri" w:hAnsi="Arial" w:cs="Arial"/>
          <w:i/>
          <w:iCs/>
          <w:sz w:val="24"/>
          <w:szCs w:val="24"/>
        </w:rPr>
        <w:t>MB v Secretary of |State for Work</w:t>
      </w:r>
      <w:r w:rsidR="004356A4" w:rsidRPr="00263BAD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D250A1" w:rsidRPr="00263BAD">
        <w:rPr>
          <w:rFonts w:ascii="Arial" w:eastAsia="Calibri" w:hAnsi="Arial" w:cs="Arial"/>
          <w:i/>
          <w:iCs/>
          <w:sz w:val="24"/>
          <w:szCs w:val="24"/>
        </w:rPr>
        <w:t>a</w:t>
      </w:r>
      <w:r w:rsidR="004356A4" w:rsidRPr="00263BAD">
        <w:rPr>
          <w:rFonts w:ascii="Arial" w:eastAsia="Calibri" w:hAnsi="Arial" w:cs="Arial"/>
          <w:i/>
          <w:iCs/>
          <w:sz w:val="24"/>
          <w:szCs w:val="24"/>
        </w:rPr>
        <w:t>nd</w:t>
      </w:r>
      <w:r w:rsidR="00D250A1" w:rsidRPr="00263BAD">
        <w:rPr>
          <w:rFonts w:ascii="Arial" w:eastAsia="Calibri" w:hAnsi="Arial" w:cs="Arial"/>
          <w:i/>
          <w:iCs/>
          <w:sz w:val="24"/>
          <w:szCs w:val="24"/>
        </w:rPr>
        <w:t xml:space="preserve"> Pensions</w:t>
      </w:r>
      <w:r w:rsidR="00D250A1" w:rsidRPr="00263BAD">
        <w:rPr>
          <w:rFonts w:ascii="Arial" w:eastAsia="Calibri" w:hAnsi="Arial" w:cs="Arial"/>
          <w:sz w:val="24"/>
          <w:szCs w:val="24"/>
        </w:rPr>
        <w:t xml:space="preserve"> [2016] UKUT </w:t>
      </w:r>
      <w:r w:rsidR="00EB5E5C" w:rsidRPr="00263BAD">
        <w:rPr>
          <w:rFonts w:ascii="Arial" w:eastAsia="Calibri" w:hAnsi="Arial" w:cs="Arial"/>
          <w:sz w:val="24"/>
          <w:szCs w:val="24"/>
        </w:rPr>
        <w:t>250 (AAC) at [20] (Upper Tribunal Judge Hemingway).</w:t>
      </w:r>
    </w:p>
    <w:p w14:paraId="0CF8E0DE" w14:textId="77777777" w:rsidR="00B0639C" w:rsidRPr="00263BAD" w:rsidRDefault="00B0639C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rPr>
          <w:rFonts w:ascii="Arial" w:eastAsia="Calibri" w:hAnsi="Arial" w:cs="Arial"/>
          <w:sz w:val="24"/>
          <w:szCs w:val="24"/>
        </w:rPr>
      </w:pPr>
    </w:p>
    <w:p w14:paraId="24352EE6" w14:textId="30B918D2" w:rsidR="00813F60" w:rsidRPr="00263BAD" w:rsidRDefault="00E77494" w:rsidP="00CE7291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813F60" w:rsidRPr="00263BAD">
        <w:rPr>
          <w:rFonts w:ascii="Arial" w:eastAsia="Calibri" w:hAnsi="Arial" w:cs="Arial"/>
          <w:b/>
          <w:bCs/>
          <w:sz w:val="24"/>
          <w:szCs w:val="24"/>
        </w:rPr>
        <w:t>The rehearing</w:t>
      </w:r>
    </w:p>
    <w:p w14:paraId="47EED6F4" w14:textId="77777777" w:rsidR="00E77494" w:rsidRDefault="00E77494" w:rsidP="00CE729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rPr>
          <w:rFonts w:ascii="Arial" w:eastAsia="Calibri" w:hAnsi="Arial" w:cs="Arial"/>
          <w:sz w:val="24"/>
          <w:szCs w:val="24"/>
        </w:rPr>
      </w:pPr>
    </w:p>
    <w:p w14:paraId="17EC89EB" w14:textId="25524792" w:rsidR="00813F60" w:rsidRPr="00263BAD" w:rsidRDefault="00E77494" w:rsidP="00E7749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15.</w:t>
      </w:r>
      <w:r>
        <w:rPr>
          <w:rFonts w:ascii="Arial" w:eastAsia="Calibri" w:hAnsi="Arial" w:cs="Arial"/>
          <w:sz w:val="24"/>
          <w:szCs w:val="24"/>
        </w:rPr>
        <w:tab/>
      </w:r>
      <w:r w:rsidR="000028B9" w:rsidRPr="00263BAD">
        <w:rPr>
          <w:rFonts w:ascii="Arial" w:eastAsia="Calibri" w:hAnsi="Arial" w:cs="Arial"/>
          <w:sz w:val="24"/>
          <w:szCs w:val="24"/>
        </w:rPr>
        <w:t>T</w:t>
      </w:r>
      <w:r w:rsidR="00813F60" w:rsidRPr="00263BAD">
        <w:rPr>
          <w:rFonts w:ascii="Arial" w:eastAsia="Calibri" w:hAnsi="Arial" w:cs="Arial"/>
          <w:sz w:val="24"/>
          <w:szCs w:val="24"/>
        </w:rPr>
        <w:t>his will be an oral hearing</w:t>
      </w:r>
      <w:r w:rsidR="000028B9" w:rsidRPr="00263BAD">
        <w:rPr>
          <w:rFonts w:ascii="Arial" w:eastAsia="Calibri" w:hAnsi="Arial" w:cs="Arial"/>
          <w:sz w:val="24"/>
          <w:szCs w:val="24"/>
        </w:rPr>
        <w:t>, and the appellant will have the opportunity to explain his difficulties to the Tribunal afresh</w:t>
      </w:r>
      <w:r w:rsidR="002B7D4B" w:rsidRPr="00263BA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028B9" w:rsidRPr="00263BAD">
        <w:rPr>
          <w:rFonts w:ascii="Arial" w:eastAsia="Calibri" w:hAnsi="Arial" w:cs="Arial"/>
          <w:sz w:val="24"/>
          <w:szCs w:val="24"/>
        </w:rPr>
        <w:t xml:space="preserve">While the panel will take heed of the </w:t>
      </w:r>
      <w:r w:rsidR="00F72521" w:rsidRPr="00263BAD">
        <w:rPr>
          <w:rFonts w:ascii="Arial" w:eastAsia="Calibri" w:hAnsi="Arial" w:cs="Arial"/>
          <w:sz w:val="24"/>
          <w:szCs w:val="24"/>
        </w:rPr>
        <w:t>level of agreement between the parties on the issue before me, it will make its own judgment on the evidence, and</w:t>
      </w:r>
      <w:r w:rsidR="00F56A0D" w:rsidRPr="00263BAD">
        <w:rPr>
          <w:rFonts w:ascii="Arial" w:eastAsia="Calibri" w:hAnsi="Arial" w:cs="Arial"/>
          <w:sz w:val="24"/>
          <w:szCs w:val="24"/>
        </w:rPr>
        <w:t>, as is my</w:t>
      </w:r>
      <w:r w:rsidR="00100180" w:rsidRPr="00263BAD">
        <w:rPr>
          <w:rFonts w:ascii="Arial" w:eastAsia="Calibri" w:hAnsi="Arial" w:cs="Arial"/>
          <w:sz w:val="24"/>
          <w:szCs w:val="24"/>
        </w:rPr>
        <w:t xml:space="preserve"> custom</w:t>
      </w:r>
      <w:r w:rsidR="00F56A0D" w:rsidRPr="00263BAD">
        <w:rPr>
          <w:rFonts w:ascii="Arial" w:eastAsia="Calibri" w:hAnsi="Arial" w:cs="Arial"/>
          <w:sz w:val="24"/>
          <w:szCs w:val="24"/>
        </w:rPr>
        <w:t xml:space="preserve">, </w:t>
      </w:r>
      <w:r w:rsidR="00F72521" w:rsidRPr="00263BAD">
        <w:rPr>
          <w:rFonts w:ascii="Arial" w:eastAsia="Calibri" w:hAnsi="Arial" w:cs="Arial"/>
          <w:sz w:val="24"/>
          <w:szCs w:val="24"/>
        </w:rPr>
        <w:t>I</w:t>
      </w:r>
      <w:r w:rsidR="00100180" w:rsidRPr="00263BAD">
        <w:rPr>
          <w:rFonts w:ascii="Arial" w:eastAsia="Calibri" w:hAnsi="Arial" w:cs="Arial"/>
          <w:sz w:val="24"/>
          <w:szCs w:val="24"/>
        </w:rPr>
        <w:t xml:space="preserve"> caution the appellant that success before me on a point of law is no guarantee of success on the facts before the Tribunal</w:t>
      </w:r>
      <w:r w:rsidR="00F26822" w:rsidRPr="00263BAD">
        <w:rPr>
          <w:rFonts w:ascii="Arial" w:eastAsia="Calibri" w:hAnsi="Arial" w:cs="Arial"/>
          <w:sz w:val="24"/>
          <w:szCs w:val="24"/>
        </w:rPr>
        <w:t>.</w:t>
      </w:r>
    </w:p>
    <w:p w14:paraId="58E8318F" w14:textId="2C086557" w:rsidR="007B28BF" w:rsidRPr="00263BAD" w:rsidRDefault="006948CF" w:rsidP="00AD09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BAD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F7714E" wp14:editId="5A02A427">
            <wp:simplePos x="0" y="0"/>
            <wp:positionH relativeFrom="margin">
              <wp:posOffset>-121920</wp:posOffset>
            </wp:positionH>
            <wp:positionV relativeFrom="margin">
              <wp:posOffset>5600700</wp:posOffset>
            </wp:positionV>
            <wp:extent cx="2228850" cy="622935"/>
            <wp:effectExtent l="0" t="0" r="0" b="5715"/>
            <wp:wrapTight wrapText="bothSides">
              <wp:wrapPolygon edited="0">
                <wp:start x="0" y="0"/>
                <wp:lineTo x="0" y="21138"/>
                <wp:lineTo x="21415" y="21138"/>
                <wp:lineTo x="21415" y="0"/>
                <wp:lineTo x="0" y="0"/>
              </wp:wrapPolygon>
            </wp:wrapTight>
            <wp:docPr id="2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26B2C" w14:textId="7E90358E" w:rsidR="00B01420" w:rsidRPr="00263BAD" w:rsidRDefault="00B01420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B4A06" w14:textId="764EE661" w:rsidR="00B01420" w:rsidRPr="00263BAD" w:rsidRDefault="00B01420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19A9BC" w14:textId="43CE42AB" w:rsidR="00B01420" w:rsidRPr="00263BAD" w:rsidRDefault="00B01420" w:rsidP="00AD0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012A0" w14:textId="77777777" w:rsidR="00B01420" w:rsidRPr="00263BAD" w:rsidRDefault="00B01420" w:rsidP="00AD09B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07F9836" w14:textId="1111DF95" w:rsidR="007B28BF" w:rsidRPr="006948CF" w:rsidRDefault="007B28BF" w:rsidP="00AD09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63BAD">
        <w:rPr>
          <w:rFonts w:ascii="Arial" w:hAnsi="Arial" w:cs="Arial"/>
          <w:sz w:val="24"/>
          <w:szCs w:val="24"/>
        </w:rPr>
        <w:t>(signed)</w:t>
      </w:r>
      <w:r w:rsidR="006948CF">
        <w:rPr>
          <w:rFonts w:ascii="Arial" w:hAnsi="Arial" w:cs="Arial"/>
          <w:sz w:val="24"/>
          <w:szCs w:val="24"/>
        </w:rPr>
        <w:t xml:space="preserve">  </w:t>
      </w:r>
      <w:r w:rsidRPr="006948CF">
        <w:rPr>
          <w:rFonts w:ascii="Arial" w:hAnsi="Arial" w:cs="Arial"/>
          <w:bCs/>
          <w:sz w:val="24"/>
          <w:szCs w:val="24"/>
        </w:rPr>
        <w:t>P</w:t>
      </w:r>
      <w:r w:rsidR="006948CF" w:rsidRPr="006948CF">
        <w:rPr>
          <w:rFonts w:ascii="Arial" w:hAnsi="Arial" w:cs="Arial"/>
          <w:bCs/>
          <w:sz w:val="24"/>
          <w:szCs w:val="24"/>
        </w:rPr>
        <w:t xml:space="preserve"> </w:t>
      </w:r>
      <w:r w:rsidRPr="006948CF">
        <w:rPr>
          <w:rFonts w:ascii="Arial" w:hAnsi="Arial" w:cs="Arial"/>
          <w:bCs/>
          <w:sz w:val="24"/>
          <w:szCs w:val="24"/>
        </w:rPr>
        <w:t>Gray</w:t>
      </w:r>
    </w:p>
    <w:p w14:paraId="24B7E0CB" w14:textId="77777777" w:rsidR="006948CF" w:rsidRPr="006948CF" w:rsidRDefault="006948CF" w:rsidP="00AD09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FF1740" w14:textId="77777777" w:rsidR="007B28BF" w:rsidRPr="006948CF" w:rsidRDefault="007B28BF" w:rsidP="00AD09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948CF">
        <w:rPr>
          <w:rFonts w:ascii="Arial" w:hAnsi="Arial" w:cs="Arial"/>
          <w:bCs/>
          <w:sz w:val="24"/>
          <w:szCs w:val="24"/>
        </w:rPr>
        <w:t>Deputy Commissioner (NI)</w:t>
      </w:r>
    </w:p>
    <w:p w14:paraId="3A2BBE9A" w14:textId="206742F6" w:rsidR="007B28BF" w:rsidRDefault="007B28BF" w:rsidP="00AD09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2" w:name="_Hlk137825821"/>
    </w:p>
    <w:p w14:paraId="5B79276D" w14:textId="77777777" w:rsidR="006948CF" w:rsidRDefault="006948CF" w:rsidP="00AD09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5467D50" w14:textId="77777777" w:rsidR="006948CF" w:rsidRPr="00263BAD" w:rsidRDefault="006948CF" w:rsidP="00AD09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CBB410" w14:textId="2B5194C2" w:rsidR="00C73713" w:rsidRPr="00263BAD" w:rsidRDefault="00AA3453" w:rsidP="00AD09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63BA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 December 2023</w:t>
      </w:r>
      <w:bookmarkEnd w:id="2"/>
    </w:p>
    <w:sectPr w:rsidR="00C73713" w:rsidRPr="00263BAD" w:rsidSect="00263BAD">
      <w:foot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15BC" w14:textId="77777777" w:rsidR="0095553D" w:rsidRDefault="0095553D">
      <w:pPr>
        <w:spacing w:after="0" w:line="240" w:lineRule="auto"/>
      </w:pPr>
      <w:r>
        <w:separator/>
      </w:r>
    </w:p>
  </w:endnote>
  <w:endnote w:type="continuationSeparator" w:id="0">
    <w:p w14:paraId="40E293E7" w14:textId="77777777" w:rsidR="0095553D" w:rsidRDefault="0095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1850" w14:textId="7FD18201" w:rsidR="00C73713" w:rsidRPr="00D60036" w:rsidRDefault="00D43A3C" w:rsidP="00D60036">
    <w:pPr>
      <w:pStyle w:val="Footer"/>
      <w:jc w:val="center"/>
      <w:rPr>
        <w:rFonts w:ascii="Arial" w:hAnsi="Arial" w:cs="Arial"/>
        <w:sz w:val="24"/>
        <w:szCs w:val="24"/>
      </w:rPr>
    </w:pPr>
    <w:r w:rsidRPr="00D60036">
      <w:rPr>
        <w:rFonts w:ascii="Arial" w:hAnsi="Arial" w:cs="Arial"/>
        <w:sz w:val="24"/>
        <w:szCs w:val="24"/>
      </w:rPr>
      <w:fldChar w:fldCharType="begin"/>
    </w:r>
    <w:r w:rsidRPr="00D60036">
      <w:rPr>
        <w:rFonts w:ascii="Arial" w:hAnsi="Arial" w:cs="Arial"/>
        <w:sz w:val="24"/>
        <w:szCs w:val="24"/>
      </w:rPr>
      <w:instrText xml:space="preserve"> PAGE   \* MERGEFORMAT </w:instrText>
    </w:r>
    <w:r w:rsidRPr="00D60036">
      <w:rPr>
        <w:rFonts w:ascii="Arial" w:hAnsi="Arial" w:cs="Arial"/>
        <w:sz w:val="24"/>
        <w:szCs w:val="24"/>
      </w:rPr>
      <w:fldChar w:fldCharType="separate"/>
    </w:r>
    <w:r w:rsidRPr="00D60036">
      <w:rPr>
        <w:rFonts w:ascii="Arial" w:hAnsi="Arial" w:cs="Arial"/>
        <w:noProof/>
        <w:sz w:val="24"/>
        <w:szCs w:val="24"/>
      </w:rPr>
      <w:t>2</w:t>
    </w:r>
    <w:r w:rsidRPr="00D60036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4FC3" w14:textId="77777777" w:rsidR="0095553D" w:rsidRDefault="0095553D">
      <w:pPr>
        <w:spacing w:after="0" w:line="240" w:lineRule="auto"/>
      </w:pPr>
      <w:r>
        <w:separator/>
      </w:r>
    </w:p>
  </w:footnote>
  <w:footnote w:type="continuationSeparator" w:id="0">
    <w:p w14:paraId="5608ABBD" w14:textId="77777777" w:rsidR="0095553D" w:rsidRDefault="00955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BFF"/>
    <w:multiLevelType w:val="hybridMultilevel"/>
    <w:tmpl w:val="44EC73EC"/>
    <w:lvl w:ilvl="0" w:tplc="2A7677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5ED4"/>
    <w:multiLevelType w:val="hybridMultilevel"/>
    <w:tmpl w:val="BEAA160E"/>
    <w:lvl w:ilvl="0" w:tplc="ACC69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5A79"/>
    <w:multiLevelType w:val="hybridMultilevel"/>
    <w:tmpl w:val="F9CCC0B2"/>
    <w:lvl w:ilvl="0" w:tplc="688070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C2BB0"/>
    <w:multiLevelType w:val="hybridMultilevel"/>
    <w:tmpl w:val="0C687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53E8F"/>
    <w:multiLevelType w:val="hybridMultilevel"/>
    <w:tmpl w:val="16F29768"/>
    <w:lvl w:ilvl="0" w:tplc="67D24A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69279">
    <w:abstractNumId w:val="1"/>
  </w:num>
  <w:num w:numId="2" w16cid:durableId="1798835029">
    <w:abstractNumId w:val="2"/>
  </w:num>
  <w:num w:numId="3" w16cid:durableId="1755205483">
    <w:abstractNumId w:val="0"/>
  </w:num>
  <w:num w:numId="4" w16cid:durableId="86389663">
    <w:abstractNumId w:val="4"/>
  </w:num>
  <w:num w:numId="5" w16cid:durableId="240408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BF"/>
    <w:rsid w:val="000028B9"/>
    <w:rsid w:val="00006004"/>
    <w:rsid w:val="000441BD"/>
    <w:rsid w:val="00047014"/>
    <w:rsid w:val="00052552"/>
    <w:rsid w:val="00052CD2"/>
    <w:rsid w:val="00053FB0"/>
    <w:rsid w:val="00066516"/>
    <w:rsid w:val="00094C77"/>
    <w:rsid w:val="000C4304"/>
    <w:rsid w:val="000D514D"/>
    <w:rsid w:val="000F544F"/>
    <w:rsid w:val="00100180"/>
    <w:rsid w:val="001235E9"/>
    <w:rsid w:val="00126B89"/>
    <w:rsid w:val="00137E59"/>
    <w:rsid w:val="00146681"/>
    <w:rsid w:val="00157157"/>
    <w:rsid w:val="00163D0D"/>
    <w:rsid w:val="00167A06"/>
    <w:rsid w:val="00180A4B"/>
    <w:rsid w:val="001B2D99"/>
    <w:rsid w:val="001B67B5"/>
    <w:rsid w:val="001E6BE8"/>
    <w:rsid w:val="00201384"/>
    <w:rsid w:val="00232DCC"/>
    <w:rsid w:val="00263BAD"/>
    <w:rsid w:val="002721C2"/>
    <w:rsid w:val="00292E8F"/>
    <w:rsid w:val="00297EDF"/>
    <w:rsid w:val="002A092D"/>
    <w:rsid w:val="002A6177"/>
    <w:rsid w:val="002B7D4B"/>
    <w:rsid w:val="00330E4C"/>
    <w:rsid w:val="00342372"/>
    <w:rsid w:val="0034275D"/>
    <w:rsid w:val="00360477"/>
    <w:rsid w:val="003A6585"/>
    <w:rsid w:val="003D7422"/>
    <w:rsid w:val="00405F2A"/>
    <w:rsid w:val="004227D2"/>
    <w:rsid w:val="00426840"/>
    <w:rsid w:val="004356A4"/>
    <w:rsid w:val="00481132"/>
    <w:rsid w:val="0049259F"/>
    <w:rsid w:val="004A43B1"/>
    <w:rsid w:val="004B62D4"/>
    <w:rsid w:val="004B6EFD"/>
    <w:rsid w:val="004D449F"/>
    <w:rsid w:val="004D5736"/>
    <w:rsid w:val="004E5950"/>
    <w:rsid w:val="005014B6"/>
    <w:rsid w:val="005120D9"/>
    <w:rsid w:val="00544B9E"/>
    <w:rsid w:val="00567B89"/>
    <w:rsid w:val="00594340"/>
    <w:rsid w:val="005A2446"/>
    <w:rsid w:val="005C0898"/>
    <w:rsid w:val="005C09B4"/>
    <w:rsid w:val="005D135A"/>
    <w:rsid w:val="0060751B"/>
    <w:rsid w:val="0064492B"/>
    <w:rsid w:val="00661807"/>
    <w:rsid w:val="00667CFA"/>
    <w:rsid w:val="006948CF"/>
    <w:rsid w:val="006B5135"/>
    <w:rsid w:val="006E5A2C"/>
    <w:rsid w:val="006F7299"/>
    <w:rsid w:val="007260FC"/>
    <w:rsid w:val="007470EE"/>
    <w:rsid w:val="00757604"/>
    <w:rsid w:val="00776B69"/>
    <w:rsid w:val="007B28BF"/>
    <w:rsid w:val="007C75B3"/>
    <w:rsid w:val="007E4D22"/>
    <w:rsid w:val="00800080"/>
    <w:rsid w:val="0081329B"/>
    <w:rsid w:val="00813F60"/>
    <w:rsid w:val="008523FA"/>
    <w:rsid w:val="00857CAE"/>
    <w:rsid w:val="0086152F"/>
    <w:rsid w:val="00871F45"/>
    <w:rsid w:val="00872BCE"/>
    <w:rsid w:val="00891A2C"/>
    <w:rsid w:val="008A2634"/>
    <w:rsid w:val="008B7A0D"/>
    <w:rsid w:val="008C29E7"/>
    <w:rsid w:val="008C4EAD"/>
    <w:rsid w:val="008F3766"/>
    <w:rsid w:val="008F4B33"/>
    <w:rsid w:val="00914047"/>
    <w:rsid w:val="0095553D"/>
    <w:rsid w:val="00960658"/>
    <w:rsid w:val="00963CFC"/>
    <w:rsid w:val="00971616"/>
    <w:rsid w:val="00A611DD"/>
    <w:rsid w:val="00AA3453"/>
    <w:rsid w:val="00AA3EC9"/>
    <w:rsid w:val="00AD09B8"/>
    <w:rsid w:val="00AD0F62"/>
    <w:rsid w:val="00AD6CC2"/>
    <w:rsid w:val="00B01420"/>
    <w:rsid w:val="00B02F7C"/>
    <w:rsid w:val="00B0639C"/>
    <w:rsid w:val="00B330D8"/>
    <w:rsid w:val="00B70AC4"/>
    <w:rsid w:val="00B94659"/>
    <w:rsid w:val="00BA1565"/>
    <w:rsid w:val="00BA1FCE"/>
    <w:rsid w:val="00BB6235"/>
    <w:rsid w:val="00BC44DC"/>
    <w:rsid w:val="00BF0864"/>
    <w:rsid w:val="00C3597E"/>
    <w:rsid w:val="00C73713"/>
    <w:rsid w:val="00CA2FE4"/>
    <w:rsid w:val="00CB5804"/>
    <w:rsid w:val="00CC53B9"/>
    <w:rsid w:val="00CD7571"/>
    <w:rsid w:val="00CE20B3"/>
    <w:rsid w:val="00CE7291"/>
    <w:rsid w:val="00D0766D"/>
    <w:rsid w:val="00D076AA"/>
    <w:rsid w:val="00D17EA1"/>
    <w:rsid w:val="00D250A1"/>
    <w:rsid w:val="00D43A3C"/>
    <w:rsid w:val="00D60036"/>
    <w:rsid w:val="00D900CD"/>
    <w:rsid w:val="00DB54A4"/>
    <w:rsid w:val="00DC0D97"/>
    <w:rsid w:val="00DC6483"/>
    <w:rsid w:val="00DC7530"/>
    <w:rsid w:val="00DD52DC"/>
    <w:rsid w:val="00DE12DE"/>
    <w:rsid w:val="00DF7FFE"/>
    <w:rsid w:val="00E021C2"/>
    <w:rsid w:val="00E04441"/>
    <w:rsid w:val="00E20EB4"/>
    <w:rsid w:val="00E26280"/>
    <w:rsid w:val="00E352C0"/>
    <w:rsid w:val="00E7458A"/>
    <w:rsid w:val="00E75EAF"/>
    <w:rsid w:val="00E77494"/>
    <w:rsid w:val="00EB5E5C"/>
    <w:rsid w:val="00ED5777"/>
    <w:rsid w:val="00F01406"/>
    <w:rsid w:val="00F05FBD"/>
    <w:rsid w:val="00F172BF"/>
    <w:rsid w:val="00F26822"/>
    <w:rsid w:val="00F304DC"/>
    <w:rsid w:val="00F41BAB"/>
    <w:rsid w:val="00F56A0D"/>
    <w:rsid w:val="00F63C5D"/>
    <w:rsid w:val="00F64BF3"/>
    <w:rsid w:val="00F66143"/>
    <w:rsid w:val="00F70C8F"/>
    <w:rsid w:val="00F72521"/>
    <w:rsid w:val="00F83131"/>
    <w:rsid w:val="00F866E5"/>
    <w:rsid w:val="00FA04D8"/>
    <w:rsid w:val="00FA6105"/>
    <w:rsid w:val="00F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DC96"/>
  <w15:chartTrackingRefBased/>
  <w15:docId w15:val="{DAA6459A-DADD-490D-B472-7B345B7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8B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8B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B2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976B6E0FED40AE4595D2D415371E" ma:contentTypeVersion="16" ma:contentTypeDescription="Create a new document." ma:contentTypeScope="" ma:versionID="9f690627a66b545aaa34090c80e34136">
  <xsd:schema xmlns:xsd="http://www.w3.org/2001/XMLSchema" xmlns:xs="http://www.w3.org/2001/XMLSchema" xmlns:p="http://schemas.microsoft.com/office/2006/metadata/properties" xmlns:ns3="9584949f-143b-4263-a10f-a8f1b74bb921" xmlns:ns4="14a266ed-3207-46c6-a07d-f81477979f14" targetNamespace="http://schemas.microsoft.com/office/2006/metadata/properties" ma:root="true" ma:fieldsID="de1e5815dcaa351ea92ad28038a51ac7" ns3:_="" ns4:_="">
    <xsd:import namespace="9584949f-143b-4263-a10f-a8f1b74bb921"/>
    <xsd:import namespace="14a266ed-3207-46c6-a07d-f81477979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949f-143b-4263-a10f-a8f1b74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66ed-3207-46c6-a07d-f8147797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66ed-3207-46c6-a07d-f81477979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42A10-294D-40A1-B2DD-3CD0D2BD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4949f-143b-4263-a10f-a8f1b74bb921"/>
    <ds:schemaRef ds:uri="14a266ed-3207-46c6-a07d-f81477979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2CFF9-5395-4402-A150-708A667655B2}">
  <ds:schemaRefs>
    <ds:schemaRef ds:uri="http://schemas.microsoft.com/office/2006/metadata/properties"/>
    <ds:schemaRef ds:uri="http://schemas.microsoft.com/office/infopath/2007/PartnerControls"/>
    <ds:schemaRef ds:uri="14a266ed-3207-46c6-a07d-f81477979f14"/>
  </ds:schemaRefs>
</ds:datastoreItem>
</file>

<file path=customXml/itemProps3.xml><?xml version="1.0" encoding="utf-8"?>
<ds:datastoreItem xmlns:ds="http://schemas.openxmlformats.org/officeDocument/2006/customXml" ds:itemID="{7C1C68BC-552C-4A0D-9B78-0A161CC1E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C5/23-24(PIP)</vt:lpstr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C5/23-24(PIP)</dc:title>
  <dc:subject/>
  <dc:creator>Bowman, Marie</dc:creator>
  <cp:keywords/>
  <dc:description/>
  <cp:lastModifiedBy>Clements, David</cp:lastModifiedBy>
  <cp:revision>2</cp:revision>
  <cp:lastPrinted>2023-12-06T14:26:00Z</cp:lastPrinted>
  <dcterms:created xsi:type="dcterms:W3CDTF">2023-12-07T12:41:00Z</dcterms:created>
  <dcterms:modified xsi:type="dcterms:W3CDTF">2023-12-07T12:41:00Z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0x010100DF8B976B6E0FED40AE4595D2D415371E</vt:lpwstr>
  </property>
</Properties>
</file>